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before="240"/>
      </w:pPr>
      <w:r>
        <w:rPr>
          <w:rFonts w:ascii="Times New Roman" w:cs="Times New Roman" w:eastAsia="Times New Roman" w:hAnsi="Times New Roman"/>
          <w:b/>
          <w:bCs/>
          <w:sz w:val="28"/>
          <w:szCs w:val="28"/>
        </w:rPr>
        <w:t xml:space="preserve">Supplementary File 4. Framework checklist coding guide</w:t>
      </w:r>
    </w:p>
    <w:p>
      <w:pPr>
        <w:pStyle w:val="Heading2"/>
        <w:spacing w:after="120" w:before="240"/>
      </w:pPr>
      <w:r>
        <w:rPr>
          <w:rFonts w:ascii="Times New Roman" w:cs="Times New Roman" w:eastAsia="Times New Roman" w:hAnsi="Times New Roman"/>
          <w:b/>
          <w:bCs/>
          <w:sz w:val="24"/>
          <w:szCs w:val="24"/>
        </w:rPr>
        <w:t xml:space="preserve">Purpose</w:t>
      </w:r>
    </w:p>
    <w:p>
      <w:pPr>
        <w:spacing w:after="200" w:line="360"/>
      </w:pPr>
      <w:r>
        <w:rPr>
          <w:rFonts w:ascii="Times New Roman" w:cs="Times New Roman" w:eastAsia="Times New Roman" w:hAnsi="Times New Roman"/>
          <w:sz w:val="24"/>
          <w:szCs w:val="24"/>
        </w:rPr>
        <w:t xml:space="preserve">This document describes the five-criterion framework checklist used to determine final inclusion of candidate papers in this scoping review. After full-text eligibility screening, 55 candidate papers were assessed against the checklist. Papers scoring 2/5 or higher were included. The threshold was used to exclude papers that mentioned AI literacy but did not provide sufficient framework-level structure for the review questions. Five papers scored below the threshold and were excluded, resulting in 50 included studies.</w:t>
      </w:r>
    </w:p>
    <w:p>
      <w:pPr>
        <w:spacing w:after="200" w:line="360"/>
      </w:pPr>
      <w:r>
        <w:rPr>
          <w:rFonts w:ascii="Times New Roman" w:cs="Times New Roman" w:eastAsia="Times New Roman" w:hAnsi="Times New Roman"/>
          <w:sz w:val="24"/>
          <w:szCs w:val="24"/>
        </w:rPr>
        <w:t xml:space="preserve">The checklist was developed to operationalize the review’s definition of a framework-level K–12 AI literacy contribution, including competency models, curriculum frameworks, assessment frameworks, pedagogical models, and implementation-oriented frameworks.</w:t>
      </w:r>
    </w:p>
    <w:p>
      <w:pPr>
        <w:spacing w:after="200" w:line="360"/>
      </w:pPr>
      <w:r>
        <w:rPr>
          <w:rFonts w:ascii="Times New Roman" w:cs="Times New Roman" w:eastAsia="Times New Roman" w:hAnsi="Times New Roman"/>
          <w:sz w:val="24"/>
          <w:szCs w:val="24"/>
        </w:rPr>
        <w:t xml:space="preserve">This checklist was not designed as a conventional methodological quality appraisal. Its purpose was to assess the structural relevance and completeness of framework-level contributions for this scoping review.</w:t>
      </w:r>
    </w:p>
    <w:p>
      <w:pPr>
        <w:pStyle w:val="Heading2"/>
        <w:spacing w:after="120" w:before="240"/>
      </w:pPr>
      <w:r>
        <w:rPr>
          <w:rFonts w:ascii="Times New Roman" w:cs="Times New Roman" w:eastAsia="Times New Roman" w:hAnsi="Times New Roman"/>
          <w:b/>
          <w:bCs/>
          <w:sz w:val="24"/>
          <w:szCs w:val="24"/>
        </w:rPr>
        <w:t xml:space="preserve">Checklist criteria</w:t>
      </w:r>
    </w:p>
    <w:p>
      <w:pPr>
        <w:spacing w:after="200" w:line="360"/>
      </w:pPr>
      <w:r>
        <w:rPr>
          <w:rFonts w:ascii="Times New Roman" w:cs="Times New Roman" w:eastAsia="Times New Roman" w:hAnsi="Times New Roman"/>
          <w:b/>
          <w:bCs/>
          <w:i/>
          <w:iCs/>
          <w:sz w:val="24"/>
          <w:szCs w:val="24"/>
        </w:rPr>
        <w:t xml:space="preserve">Table S4.1. </w:t>
      </w:r>
      <w:r>
        <w:rPr>
          <w:rFonts w:ascii="Times New Roman" w:cs="Times New Roman" w:eastAsia="Times New Roman" w:hAnsi="Times New Roman"/>
          <w:i/>
          <w:iCs/>
          <w:sz w:val="24"/>
          <w:szCs w:val="24"/>
        </w:rPr>
        <w:t xml:space="preserve">Five-criterion framework checklist.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00"/>
        <w:gridCol w:w="2800"/>
        <w:gridCol w:w="5760"/>
      </w:tblGrid>
      <w:tr>
        <w:tc>
          <w:tcPr>
            <w:tcW w:type="dxa" w:w="800"/>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tcPr>
          <w:p>
            <w:r>
              <w:rPr>
                <w:rFonts w:ascii="Times New Roman" w:cs="Times New Roman" w:eastAsia="Times New Roman" w:hAnsi="Times New Roman"/>
                <w:b/>
                <w:bCs/>
                <w:sz w:val="20"/>
                <w:szCs w:val="20"/>
              </w:rPr>
              <w:t xml:space="preserve">Code</w:t>
            </w:r>
          </w:p>
        </w:tc>
        <w:tc>
          <w:tcPr>
            <w:tcW w:type="dxa" w:w="2800"/>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tcPr>
          <w:p>
            <w:r>
              <w:rPr>
                <w:rFonts w:ascii="Times New Roman" w:cs="Times New Roman" w:eastAsia="Times New Roman" w:hAnsi="Times New Roman"/>
                <w:b/>
                <w:bCs/>
                <w:sz w:val="20"/>
                <w:szCs w:val="20"/>
              </w:rPr>
              <w:t xml:space="preserve">Criterion</w:t>
            </w:r>
          </w:p>
        </w:tc>
        <w:tc>
          <w:tcPr>
            <w:tcW w:type="dxa" w:w="5760"/>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tcPr>
          <w:p>
            <w:r>
              <w:rPr>
                <w:rFonts w:ascii="Times New Roman" w:cs="Times New Roman" w:eastAsia="Times New Roman" w:hAnsi="Times New Roman"/>
                <w:b/>
                <w:bCs/>
                <w:sz w:val="20"/>
                <w:szCs w:val="20"/>
              </w:rPr>
              <w:t xml:space="preserve">Description</w:t>
            </w:r>
          </w:p>
        </w:tc>
      </w:tr>
      <w:tr>
        <w:tc>
          <w:tcPr>
            <w:tcW w:type="dxa" w:w="8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(a)</w:t>
            </w:r>
          </w:p>
        </w:tc>
        <w:tc>
          <w:tcPr>
            <w:tcW w:type="dxa" w:w="28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Grade bands</w:t>
            </w:r>
          </w:p>
        </w:tc>
        <w:tc>
          <w:tcPr>
            <w:tcW w:type="dxa" w:w="57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Explicit grade-band, grade-level, age-level, or developmental-level specification, such as Grades 3–6, upper elementary, lower secondary, high school, or equivalent regional structuring. The paper must specify which grade levels or developmental stages the framework targets.</w:t>
            </w:r>
          </w:p>
        </w:tc>
      </w:tr>
      <w:tr>
        <w:tc>
          <w:tcPr>
            <w:tcW w:type="dxa" w:w="8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(b)</w:t>
            </w:r>
          </w:p>
        </w:tc>
        <w:tc>
          <w:tcPr>
            <w:tcW w:type="dxa" w:w="28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Competencies</w:t>
            </w:r>
          </w:p>
        </w:tc>
        <w:tc>
          <w:tcPr>
            <w:tcW w:type="dxa" w:w="57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Defined competencies or performance expectations. The paper must articulate what students should know, be able to do, or demonstrate within the targeted level, grade band, or learning context. Generic statements about AI awareness are insufficient; competencies must be operationalized.</w:t>
            </w:r>
          </w:p>
        </w:tc>
      </w:tr>
      <w:tr>
        <w:tc>
          <w:tcPr>
            <w:tcW w:type="dxa" w:w="8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(c)</w:t>
            </w:r>
          </w:p>
        </w:tc>
        <w:tc>
          <w:tcPr>
            <w:tcW w:type="dxa" w:w="28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Critical constructs</w:t>
            </w:r>
          </w:p>
        </w:tc>
        <w:tc>
          <w:tcPr>
            <w:tcW w:type="dxa" w:w="57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Inclusion of critical constructs such as bias, fairness, accountability, transparency, privacy, data governance, human agency, societal impact, discrimination, or responsible AI. The constructs must be addressed substantively (embedded in the framework structure, curriculum, or assessment), not merely mentioned in passing.</w:t>
            </w:r>
          </w:p>
        </w:tc>
      </w:tr>
      <w:tr>
        <w:tc>
          <w:tcPr>
            <w:tcW w:type="dxa" w:w="8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(d)</w:t>
            </w:r>
          </w:p>
        </w:tc>
        <w:tc>
          <w:tcPr>
            <w:tcW w:type="dxa" w:w="28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Assessment</w:t>
            </w:r>
          </w:p>
        </w:tc>
        <w:tc>
          <w:tcPr>
            <w:tcW w:type="dxa" w:w="57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An identifiable assessment strategy that links a learning target, evidence collected, and an inference about student learning. This includes validated instruments, rubrics, diagnostic tools, pre/post tests, exit tickets, observation protocols, student artifacts, algorithm audits, reflection tasks, fidelity measures, or performance-based assessments. A paper that proposes assessment categories without specifying how they would be measured scores PARTIAL.</w:t>
            </w:r>
          </w:p>
        </w:tc>
      </w:tr>
      <w:tr>
        <w:tc>
          <w:tcPr>
            <w:tcW w:type="dxa" w:w="8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(e)</w:t>
            </w:r>
          </w:p>
        </w:tc>
        <w:tc>
          <w:tcPr>
            <w:tcW w:type="dxa" w:w="28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Exemplars</w:t>
            </w:r>
          </w:p>
        </w:tc>
        <w:tc>
          <w:tcPr>
            <w:tcW w:type="dxa" w:w="57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Classroom-ready exemplars, instructional tasks, curriculum modules, prototype activities, design challenges, unplugged activities, subject-integrated lessons, or student project descriptions that are specific enough for a teacher to implement or adapt.</w:t>
            </w:r>
          </w:p>
        </w:tc>
      </w:tr>
    </w:tbl>
    <w:p>
      <w:pPr>
        <w:spacing w:after="200"/>
      </w:pPr>
    </w:p>
    <w:p>
      <w:pPr>
        <w:pStyle w:val="Heading2"/>
        <w:spacing w:after="120" w:before="240"/>
      </w:pPr>
      <w:r>
        <w:rPr>
          <w:rFonts w:ascii="Times New Roman" w:cs="Times New Roman" w:eastAsia="Times New Roman" w:hAnsi="Times New Roman"/>
          <w:b/>
          <w:bCs/>
          <w:sz w:val="24"/>
          <w:szCs w:val="24"/>
        </w:rPr>
        <w:t xml:space="preserve">Scoring rules</w:t>
      </w:r>
    </w:p>
    <w:p>
      <w:pPr>
        <w:spacing w:after="200" w:line="360"/>
      </w:pPr>
      <w:r>
        <w:rPr>
          <w:rFonts w:ascii="Times New Roman" w:cs="Times New Roman" w:eastAsia="Times New Roman" w:hAnsi="Times New Roman"/>
          <w:b/>
          <w:bCs/>
          <w:i/>
          <w:iCs/>
          <w:sz w:val="24"/>
          <w:szCs w:val="24"/>
        </w:rPr>
        <w:t xml:space="preserve">Table S4.2. </w:t>
      </w:r>
      <w:r>
        <w:rPr>
          <w:rFonts w:ascii="Times New Roman" w:cs="Times New Roman" w:eastAsia="Times New Roman" w:hAnsi="Times New Roman"/>
          <w:i/>
          <w:iCs/>
          <w:sz w:val="24"/>
          <w:szCs w:val="24"/>
        </w:rPr>
        <w:t xml:space="preserve">Scoring definitions.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1600"/>
        <w:gridCol w:w="6560"/>
      </w:tblGrid>
      <w:tr>
        <w:tc>
          <w:tcPr>
            <w:tcW w:type="dxa" w:w="1200"/>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tcPr>
          <w:p>
            <w:r>
              <w:rPr>
                <w:rFonts w:ascii="Times New Roman" w:cs="Times New Roman" w:eastAsia="Times New Roman" w:hAnsi="Times New Roman"/>
                <w:b/>
                <w:bCs/>
                <w:sz w:val="20"/>
                <w:szCs w:val="20"/>
              </w:rPr>
              <w:t xml:space="preserve">Score</w:t>
            </w:r>
          </w:p>
        </w:tc>
        <w:tc>
          <w:tcPr>
            <w:tcW w:type="dxa" w:w="1600"/>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tcPr>
          <w:p>
            <w:r>
              <w:rPr>
                <w:rFonts w:ascii="Times New Roman" w:cs="Times New Roman" w:eastAsia="Times New Roman" w:hAnsi="Times New Roman"/>
                <w:b/>
                <w:bCs/>
                <w:sz w:val="20"/>
                <w:szCs w:val="20"/>
              </w:rPr>
              <w:t xml:space="preserve">Label</w:t>
            </w:r>
          </w:p>
        </w:tc>
        <w:tc>
          <w:tcPr>
            <w:tcW w:type="dxa" w:w="6560"/>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tcPr>
          <w:p>
            <w:r>
              <w:rPr>
                <w:rFonts w:ascii="Times New Roman" w:cs="Times New Roman" w:eastAsia="Times New Roman" w:hAnsi="Times New Roman"/>
                <w:b/>
                <w:bCs/>
                <w:sz w:val="20"/>
                <w:szCs w:val="20"/>
              </w:rPr>
              <w:t xml:space="preserve">Definition</w:t>
            </w:r>
          </w:p>
        </w:tc>
      </w:tr>
      <w:tr>
        <w:tc>
          <w:tcPr>
            <w:tcW w:type="dxa" w:w="12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1</w:t>
            </w:r>
          </w:p>
        </w:tc>
        <w:tc>
          <w:tcPr>
            <w:tcW w:type="dxa" w:w="16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YES</w:t>
            </w:r>
          </w:p>
        </w:tc>
        <w:tc>
          <w:tcPr>
            <w:tcW w:type="dxa" w:w="65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The criterion is fully met. The paper explicitly addresses the criterion with sufficient detail and specificity. For example, a paper scores YES on criterion (a) if it specifies grade bands such as “Grades 4–6” or “lower secondary” and organises content accordingly.</w:t>
            </w:r>
          </w:p>
        </w:tc>
      </w:tr>
      <w:tr>
        <w:tc>
          <w:tcPr>
            <w:tcW w:type="dxa" w:w="12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0.5</w:t>
            </w:r>
          </w:p>
        </w:tc>
        <w:tc>
          <w:tcPr>
            <w:tcW w:type="dxa" w:w="16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PARTIAL</w:t>
            </w:r>
          </w:p>
        </w:tc>
        <w:tc>
          <w:tcPr>
            <w:tcW w:type="dxa" w:w="65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The criterion is partially met. The paper addresses the criterion but with limited depth, specificity, or integration. For example, a paper that mentions ethics and bias but does not embed them in the framework structure or assessment scores PARTIAL on criterion (c). A paper that proposes assessment categories without specifying instruments or methods scores PARTIAL on criterion (d).</w:t>
            </w:r>
          </w:p>
        </w:tc>
      </w:tr>
      <w:tr>
        <w:tc>
          <w:tcPr>
            <w:tcW w:type="dxa" w:w="12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0</w:t>
            </w:r>
          </w:p>
        </w:tc>
        <w:tc>
          <w:tcPr>
            <w:tcW w:type="dxa" w:w="16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NO</w:t>
            </w:r>
          </w:p>
        </w:tc>
        <w:tc>
          <w:tcPr>
            <w:tcW w:type="dxa" w:w="65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The criterion is not met. The paper does not address the criterion or addresses it only in a passing reference without substantive treatment.</w:t>
            </w:r>
          </w:p>
        </w:tc>
      </w:tr>
    </w:tbl>
    <w:p>
      <w:pPr>
        <w:spacing w:after="200"/>
      </w:pPr>
    </w:p>
    <w:p>
      <w:pPr>
        <w:spacing w:after="200" w:line="360"/>
      </w:pPr>
      <w:r>
        <w:rPr>
          <w:rFonts w:ascii="Times New Roman" w:cs="Times New Roman" w:eastAsia="Times New Roman" w:hAnsi="Times New Roman"/>
          <w:b/>
          <w:bCs/>
          <w:sz w:val="24"/>
          <w:szCs w:val="24"/>
        </w:rPr>
        <w:t xml:space="preserve">Inclusion threshold: </w:t>
      </w:r>
      <w:r>
        <w:rPr>
          <w:rFonts w:ascii="Times New Roman" w:cs="Times New Roman" w:eastAsia="Times New Roman" w:hAnsi="Times New Roman"/>
          <w:sz w:val="24"/>
          <w:szCs w:val="24"/>
        </w:rPr>
        <w:t xml:space="preserve">A paper must score 2/5 or higher (i.e., meet at least two criteria fully, or one criterion fully and two partially, or four criteria partially) to be included in the review. The maximum possible score is 5/5.</w:t>
      </w:r>
    </w:p>
    <w:p>
      <w:pPr>
        <w:pStyle w:val="Heading2"/>
        <w:spacing w:after="120" w:before="240"/>
      </w:pPr>
      <w:r>
        <w:rPr>
          <w:rFonts w:ascii="Times New Roman" w:cs="Times New Roman" w:eastAsia="Times New Roman" w:hAnsi="Times New Roman"/>
          <w:b/>
          <w:bCs/>
          <w:sz w:val="24"/>
          <w:szCs w:val="24"/>
        </w:rPr>
        <w:t xml:space="preserve">Scoring examples</w:t>
      </w:r>
    </w:p>
    <w:p>
      <w:pPr>
        <w:spacing w:after="200" w:line="360"/>
      </w:pPr>
      <w:r>
        <w:rPr>
          <w:rFonts w:ascii="Times New Roman" w:cs="Times New Roman" w:eastAsia="Times New Roman" w:hAnsi="Times New Roman"/>
          <w:b/>
          <w:bCs/>
          <w:i/>
          <w:iCs/>
          <w:sz w:val="24"/>
          <w:szCs w:val="24"/>
        </w:rPr>
        <w:t xml:space="preserve">Table S4.3. </w:t>
      </w:r>
      <w:r>
        <w:rPr>
          <w:rFonts w:ascii="Times New Roman" w:cs="Times New Roman" w:eastAsia="Times New Roman" w:hAnsi="Times New Roman"/>
          <w:i/>
          <w:iCs/>
          <w:sz w:val="24"/>
          <w:szCs w:val="24"/>
        </w:rPr>
        <w:t xml:space="preserve">Illustrative examples of YES, PARTIAL, and NO scores.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0"/>
        <w:gridCol w:w="2800"/>
        <w:gridCol w:w="2800"/>
        <w:gridCol w:w="2760"/>
      </w:tblGrid>
      <w:tr>
        <w:tc>
          <w:tcPr>
            <w:tcW w:type="dxa" w:w="1000"/>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tcPr>
          <w:p>
            <w:r>
              <w:rPr>
                <w:rFonts w:ascii="Times New Roman" w:cs="Times New Roman" w:eastAsia="Times New Roman" w:hAnsi="Times New Roman"/>
                <w:b/>
                <w:bCs/>
                <w:sz w:val="20"/>
                <w:szCs w:val="20"/>
              </w:rPr>
              <w:t xml:space="preserve">Criterion</w:t>
            </w:r>
          </w:p>
        </w:tc>
        <w:tc>
          <w:tcPr>
            <w:tcW w:type="dxa" w:w="2800"/>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tcPr>
          <w:p>
            <w:r>
              <w:rPr>
                <w:rFonts w:ascii="Times New Roman" w:cs="Times New Roman" w:eastAsia="Times New Roman" w:hAnsi="Times New Roman"/>
                <w:b/>
                <w:bCs/>
                <w:sz w:val="20"/>
                <w:szCs w:val="20"/>
              </w:rPr>
              <w:t xml:space="preserve">YES (1)</w:t>
            </w:r>
          </w:p>
        </w:tc>
        <w:tc>
          <w:tcPr>
            <w:tcW w:type="dxa" w:w="2800"/>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tcPr>
          <w:p>
            <w:r>
              <w:rPr>
                <w:rFonts w:ascii="Times New Roman" w:cs="Times New Roman" w:eastAsia="Times New Roman" w:hAnsi="Times New Roman"/>
                <w:b/>
                <w:bCs/>
                <w:sz w:val="20"/>
                <w:szCs w:val="20"/>
              </w:rPr>
              <w:t xml:space="preserve">PARTIAL (0.5)</w:t>
            </w:r>
          </w:p>
        </w:tc>
        <w:tc>
          <w:tcPr>
            <w:tcW w:type="dxa" w:w="2760"/>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tcPr>
          <w:p>
            <w:r>
              <w:rPr>
                <w:rFonts w:ascii="Times New Roman" w:cs="Times New Roman" w:eastAsia="Times New Roman" w:hAnsi="Times New Roman"/>
                <w:b/>
                <w:bCs/>
                <w:sz w:val="20"/>
                <w:szCs w:val="20"/>
              </w:rPr>
              <w:t xml:space="preserve">NO (0)</w:t>
            </w:r>
          </w:p>
        </w:tc>
      </w:tr>
      <w:tr>
        <w:tc>
          <w:tcPr>
            <w:tcW w:type="dxa" w:w="10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(a) Grade bands</w:t>
            </w:r>
          </w:p>
        </w:tc>
        <w:tc>
          <w:tcPr>
            <w:tcW w:type="dxa" w:w="28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Paper specifies Grades 3–6, lower secondary, or equivalent bands with differentiated content for each</w:t>
            </w:r>
          </w:p>
        </w:tc>
        <w:tc>
          <w:tcPr>
            <w:tcW w:type="dxa" w:w="28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Paper mentions “elementary and secondary” without specifying exact grade levels or differentiating content</w:t>
            </w:r>
          </w:p>
        </w:tc>
        <w:tc>
          <w:tcPr>
            <w:tcW w:type="dxa" w:w="27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Paper addresses “K–12” as a single undifferentiated population</w:t>
            </w:r>
          </w:p>
        </w:tc>
      </w:tr>
      <w:tr>
        <w:tc>
          <w:tcPr>
            <w:tcW w:type="dxa" w:w="10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(b) Competencies</w:t>
            </w:r>
          </w:p>
        </w:tc>
        <w:tc>
          <w:tcPr>
            <w:tcW w:type="dxa" w:w="28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Paper defines named competency domains (e.g., cognitive, affective, behavioural, ethical) with specific performance expectations</w:t>
            </w:r>
          </w:p>
        </w:tc>
        <w:tc>
          <w:tcPr>
            <w:tcW w:type="dxa" w:w="28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Paper lists general topics students should learn but does not operationalize them as measurable competencies</w:t>
            </w:r>
          </w:p>
        </w:tc>
        <w:tc>
          <w:tcPr>
            <w:tcW w:type="dxa" w:w="27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Paper does not define what students should know or be able to do</w:t>
            </w:r>
          </w:p>
        </w:tc>
      </w:tr>
      <w:tr>
        <w:tc>
          <w:tcPr>
            <w:tcW w:type="dxa" w:w="10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(c) Critical constructs</w:t>
            </w:r>
          </w:p>
        </w:tc>
        <w:tc>
          <w:tcPr>
            <w:tcW w:type="dxa" w:w="28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Paper embeds bias, privacy, fairness, or responsible AI throughout curriculum lessons, design tasks, or assessments</w:t>
            </w:r>
          </w:p>
        </w:tc>
        <w:tc>
          <w:tcPr>
            <w:tcW w:type="dxa" w:w="28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Paper discusses ethics or societal impact but does not integrate these constructs into competencies, tasks, or assessments</w:t>
            </w:r>
          </w:p>
        </w:tc>
        <w:tc>
          <w:tcPr>
            <w:tcW w:type="dxa" w:w="27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Paper does not substantively address ethical, social, or human-centred AI issues</w:t>
            </w:r>
          </w:p>
        </w:tc>
      </w:tr>
      <w:tr>
        <w:tc>
          <w:tcPr>
            <w:tcW w:type="dxa" w:w="10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(d) Assessment</w:t>
            </w:r>
          </w:p>
        </w:tc>
        <w:tc>
          <w:tcPr>
            <w:tcW w:type="dxa" w:w="28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Paper presents a validated instrument, structured rubric, exit tickets, artifact-based assessment, algorithm audit, or observation protocol with clear evidence criteria</w:t>
            </w:r>
          </w:p>
        </w:tc>
        <w:tc>
          <w:tcPr>
            <w:tcW w:type="dxa" w:w="28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Paper proposes assessment dimensions but does not specify instruments, items, or scoring methods</w:t>
            </w:r>
          </w:p>
        </w:tc>
        <w:tc>
          <w:tcPr>
            <w:tcW w:type="dxa" w:w="27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Paper does not discuss assessment</w:t>
            </w:r>
          </w:p>
        </w:tc>
      </w:tr>
      <w:tr>
        <w:tc>
          <w:tcPr>
            <w:tcW w:type="dxa" w:w="10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(e) Exemplars</w:t>
            </w:r>
          </w:p>
        </w:tc>
        <w:tc>
          <w:tcPr>
            <w:tcW w:type="dxa" w:w="28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Paper provides lesson plans, curriculum modules, design challenges, or subject-integrated activities specific enough for classroom implementation</w:t>
            </w:r>
          </w:p>
        </w:tc>
        <w:tc>
          <w:tcPr>
            <w:tcW w:type="dxa" w:w="28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Paper describes general pedagogical approaches (e.g., “project-based learning”) without specific task descriptions</w:t>
            </w:r>
          </w:p>
        </w:tc>
        <w:tc>
          <w:tcPr>
            <w:tcW w:type="dxa" w:w="27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Paper does not include classroom tasks or instructional examples</w:t>
            </w:r>
          </w:p>
        </w:tc>
      </w:tr>
    </w:tbl>
    <w:p>
      <w:pPr>
        <w:spacing w:after="200"/>
      </w:pPr>
    </w:p>
    <w:p>
      <w:pPr>
        <w:pStyle w:val="Heading2"/>
        <w:spacing w:after="120" w:before="240"/>
      </w:pPr>
      <w:r>
        <w:rPr>
          <w:rFonts w:ascii="Times New Roman" w:cs="Times New Roman" w:eastAsia="Times New Roman" w:hAnsi="Times New Roman"/>
          <w:b/>
          <w:bCs/>
          <w:sz w:val="24"/>
          <w:szCs w:val="24"/>
        </w:rPr>
        <w:t xml:space="preserve">Application in this review</w:t>
      </w:r>
    </w:p>
    <w:p>
      <w:pPr>
        <w:spacing w:after="200" w:line="360"/>
      </w:pPr>
      <w:r>
        <w:rPr>
          <w:rFonts w:ascii="Times New Roman" w:cs="Times New Roman" w:eastAsia="Times New Roman" w:hAnsi="Times New Roman"/>
          <w:sz w:val="24"/>
          <w:szCs w:val="24"/>
        </w:rPr>
        <w:t xml:space="preserve">The checklist was applied after full-text eligibility screening. Of the 150 reports assessed at full text, 95 were excluded for not meeting the broader eligibility criteria (e.g., not K–12 focused, not an AI literacy framework, higher education or adult population, tool-use study without framework structure). Two reviewers independently scored the remaining 55 candidate papers using the checklist. Disagreements and borderline cases were resolved through discussion.</w:t>
      </w:r>
    </w:p>
    <w:p>
      <w:pPr>
        <w:spacing w:after="200" w:line="360"/>
      </w:pPr>
      <w:r>
        <w:rPr>
          <w:rFonts w:ascii="Times New Roman" w:cs="Times New Roman" w:eastAsia="Times New Roman" w:hAnsi="Times New Roman"/>
          <w:sz w:val="24"/>
          <w:szCs w:val="24"/>
        </w:rPr>
        <w:t xml:space="preserve">The complete checklist scores for the 50 included studies are reported in Supplementary File 1. The checklist-stage exclusions are summarised in Supplementary File 3.</w:t>
      </w:r>
    </w:p>
    <w:p>
      <w:pPr>
        <w:pStyle w:val="Heading2"/>
        <w:spacing w:after="120" w:before="240"/>
      </w:pPr>
      <w:r>
        <w:rPr>
          <w:rFonts w:ascii="Times New Roman" w:cs="Times New Roman" w:eastAsia="Times New Roman" w:hAnsi="Times New Roman"/>
          <w:b/>
          <w:bCs/>
          <w:sz w:val="24"/>
          <w:szCs w:val="24"/>
        </w:rPr>
        <w:t xml:space="preserve">Relationship to research questions</w:t>
      </w:r>
    </w:p>
    <w:p>
      <w:pPr>
        <w:spacing w:after="200" w:line="360"/>
      </w:pPr>
      <w:r>
        <w:rPr>
          <w:rFonts w:ascii="Times New Roman" w:cs="Times New Roman" w:eastAsia="Times New Roman" w:hAnsi="Times New Roman"/>
          <w:sz w:val="24"/>
          <w:szCs w:val="24"/>
        </w:rPr>
        <w:t xml:space="preserve">The five checklist criteria map onto the review’s research questions as follows: criterion (a) informs RQ1 (framework identification and grade-band coverage); criterion (b) informs RQ2 (competencies, constructs, and progression models); criterion (c) informs RQ2 and RQ5 (critical constructs and gaps in construct coverage); criterion (d) informs RQ3 and RQ5 (assessment strategies and assessment-curriculum alignment gaps); and criterion (e) informs RQ1 and RQ4 (framework completeness and feasibility through the availability of classroom-ready materials).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Times New Roman" w:cs="Times New Roman" w:eastAsia="Times New Roman" w:hAnsi="Times New Roman"/>
      <w:b/>
      <w:bCs/>
      <w:sz w:val="28"/>
      <w:szCs w:val="28"/>
    </w:rPr>
  </w:style>
  <w:style w:type="paragraph" w:styleId="Heading2">
    <w:name w:val="Heading 2"/>
    <w:basedOn w:val="Normal"/>
    <w:next w:val="Normal"/>
    <w:qFormat/>
    <w:pPr>
      <w:spacing w:after="100" w:before="200"/>
      <w:outlineLvl w:val="1"/>
    </w:pPr>
    <w:rPr>
      <w:rFonts w:ascii="Times New Roman" w:cs="Times New Roman" w:eastAsia="Times New Roman" w:hAnsi="Times New Roman"/>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2026-05-25T01:53:16.304Z</dcterms:created>
  <dcterms:modified xsi:type="dcterms:W3CDTF">2026-05-25T01:53:16.304Z</dcterms:modified>
</cp:coreProperties>
</file>

<file path=docProps/custom.xml><?xml version="1.0" encoding="utf-8"?>
<Properties xmlns="http://schemas.openxmlformats.org/officeDocument/2006/custom-properties" xmlns:vt="http://schemas.openxmlformats.org/officeDocument/2006/docPropsVTypes"/>
</file>