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rPr>
          <w:b/>
          <w:bCs/>
          <w:sz w:val="28"/>
          <w:szCs w:val="28"/>
        </w:rPr>
        <w:t xml:space="preserve">Supplementary File 3</w:t>
      </w:r>
    </w:p>
    <w:p>
      <w:pPr>
        <w:spacing w:after="200"/>
      </w:pPr>
      <w:r>
        <w:rPr>
          <w:b/>
          <w:bCs/>
          <w:sz w:val="24"/>
          <w:szCs w:val="24"/>
        </w:rPr>
        <w:t xml:space="preserve">Screening Decisions and Exclusion Reasons</w:t>
      </w:r>
    </w:p>
    <w:p>
      <w:pPr>
        <w:spacing w:after="120"/>
      </w:pPr>
    </w:p>
    <w:p>
      <w:pPr>
        <w:pStyle w:val="Heading2"/>
      </w:pPr>
      <w:r>
        <w:rPr>
          <w:b/>
          <w:bCs/>
        </w:rPr>
        <w:t xml:space="preserve">A. PRISMA Screening Summary</w:t>
      </w:r>
    </w:p>
    <w:p>
      <w:pPr>
        <w:spacing w:after="120"/>
      </w:pPr>
      <w:r>
        <w:rPr>
          <w:sz w:val="22"/>
          <w:szCs w:val="22"/>
        </w:rPr>
        <w:t xml:space="preserve">The systematic search identified 339 records (320 from database searching and 19 from grey literature sources). After removing 135 duplicate records, 204 unique records underwent title and abstract screening. Of these, 54 were excluded as clearly irrelevant, and 150 reports were retrieved for full-text assessment.</w:t>
      </w:r>
    </w:p>
    <w:p>
      <w:pPr>
        <w:spacing w:after="200"/>
      </w:pPr>
      <w:r>
        <w:rPr>
          <w:sz w:val="22"/>
          <w:szCs w:val="22"/>
        </w:rPr>
        <w:t xml:space="preserve">Full-text assessment excluded 95 reports against the eligibility criteria (see Section B). The remaining 55 reports were assessed using the five-criterion framework checklist (Supplementary File 4). Five reports scored below the 2/5 inclusion threshold and were excluded (see Section C), yielding 50 studies included in the final review.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c>
          <w:tcPr>
            <w:tcW w:type="dxa" w:w="6000"/>
            <w:tcBorders>
              <w:top w:val="single" w:color="999999" w:sz="1"/>
              <w:left w:val="single" w:color="999999" w:sz="1"/>
              <w:bottom w:val="single" w:color="999999" w:sz="1"/>
              <w:right w:val="single" w:color="999999" w:sz="1"/>
            </w:tcBorders>
            <w:shd w:fill="D9E2F3" w:val="clear"/>
            <w:tcMar>
              <w:top w:type="dxa" w:w="80"/>
              <w:left w:type="dxa" w:w="120"/>
              <w:bottom w:type="dxa" w:w="80"/>
              <w:right w:type="dxa" w:w="120"/>
            </w:tcMar>
          </w:tcPr>
          <w:p>
            <w:pPr>
              <w:spacing w:after="0"/>
              <w:jc w:val="left"/>
            </w:pPr>
            <w:r>
              <w:rPr>
                <w:rFonts w:ascii="Arial" w:cs="Arial" w:eastAsia="Arial" w:hAnsi="Arial"/>
                <w:b/>
                <w:bCs/>
                <w:sz w:val="20"/>
                <w:szCs w:val="20"/>
                <w:shd/>
              </w:rPr>
              <w:t xml:space="preserve">Screening stage</w:t>
            </w:r>
          </w:p>
        </w:tc>
        <w:tc>
          <w:tcPr>
            <w:tcW w:type="dxa" w:w="3360"/>
            <w:tcBorders>
              <w:top w:val="single" w:color="999999" w:sz="1"/>
              <w:left w:val="single" w:color="999999" w:sz="1"/>
              <w:bottom w:val="single" w:color="999999" w:sz="1"/>
              <w:right w:val="single" w:color="999999" w:sz="1"/>
            </w:tcBorders>
            <w:shd w:fill="D9E2F3" w:val="clear"/>
            <w:tcMar>
              <w:top w:type="dxa" w:w="80"/>
              <w:left w:type="dxa" w:w="120"/>
              <w:bottom w:type="dxa" w:w="80"/>
              <w:right w:type="dxa" w:w="120"/>
            </w:tcMar>
          </w:tcPr>
          <w:p>
            <w:pPr>
              <w:spacing w:after="0"/>
              <w:jc w:val="left"/>
            </w:pPr>
            <w:r>
              <w:rPr>
                <w:rFonts w:ascii="Arial" w:cs="Arial" w:eastAsia="Arial" w:hAnsi="Arial"/>
                <w:b/>
                <w:bCs/>
                <w:sz w:val="20"/>
                <w:szCs w:val="20"/>
                <w:shd/>
              </w:rPr>
              <w:t xml:space="preserve">n</w:t>
            </w:r>
          </w:p>
        </w:tc>
      </w:tr>
      <w:tr>
        <w:tc>
          <w:tcPr>
            <w:tcW w:type="dxa" w:w="6000"/>
            <w:tcBorders>
              <w:top w:val="single" w:color="999999" w:sz="1"/>
              <w:left w:val="single" w:color="999999" w:sz="1"/>
              <w:bottom w:val="single" w:color="999999" w:sz="1"/>
              <w:right w:val="single" w:color="999999" w:sz="1"/>
            </w:tcBorders>
            <w:tcMar>
              <w:top w:type="dxa" w:w="80"/>
              <w:left w:type="dxa" w:w="120"/>
              <w:bottom w:type="dxa" w:w="80"/>
              <w:right w:type="dxa" w:w="120"/>
            </w:tcMar>
          </w:tcPr>
          <w:p>
            <w:pPr>
              <w:spacing w:after="0"/>
              <w:jc w:val="left"/>
            </w:pPr>
            <w:r>
              <w:rPr>
                <w:rFonts w:ascii="Arial" w:cs="Arial" w:eastAsia="Arial" w:hAnsi="Arial"/>
                <w:sz w:val="20"/>
                <w:szCs w:val="20"/>
              </w:rPr>
              <w:t xml:space="preserve">Records identified (database + grey literature)</w:t>
            </w:r>
          </w:p>
        </w:tc>
        <w:tc>
          <w:tcPr>
            <w:tcW w:type="dxa" w:w="3360"/>
            <w:tcBorders>
              <w:top w:val="single" w:color="999999" w:sz="1"/>
              <w:left w:val="single" w:color="999999" w:sz="1"/>
              <w:bottom w:val="single" w:color="999999" w:sz="1"/>
              <w:right w:val="single" w:color="999999" w:sz="1"/>
            </w:tcBorders>
            <w:tcMar>
              <w:top w:type="dxa" w:w="80"/>
              <w:left w:type="dxa" w:w="120"/>
              <w:bottom w:type="dxa" w:w="80"/>
              <w:right w:type="dxa" w:w="120"/>
            </w:tcMar>
          </w:tcPr>
          <w:p>
            <w:pPr>
              <w:spacing w:after="0"/>
              <w:jc w:val="center"/>
            </w:pPr>
            <w:r>
              <w:rPr>
                <w:rFonts w:ascii="Arial" w:cs="Arial" w:eastAsia="Arial" w:hAnsi="Arial"/>
                <w:sz w:val="20"/>
                <w:szCs w:val="20"/>
              </w:rPr>
              <w:t xml:space="preserve">339 (320 + 19)</w:t>
            </w:r>
          </w:p>
        </w:tc>
      </w:tr>
      <w:tr>
        <w:tc>
          <w:tcPr>
            <w:tcW w:type="dxa" w:w="6000"/>
            <w:tcBorders>
              <w:top w:val="single" w:color="999999" w:sz="1"/>
              <w:left w:val="single" w:color="999999" w:sz="1"/>
              <w:bottom w:val="single" w:color="999999" w:sz="1"/>
              <w:right w:val="single" w:color="999999" w:sz="1"/>
            </w:tcBorders>
            <w:tcMar>
              <w:top w:type="dxa" w:w="80"/>
              <w:left w:type="dxa" w:w="120"/>
              <w:bottom w:type="dxa" w:w="80"/>
              <w:right w:type="dxa" w:w="120"/>
            </w:tcMar>
          </w:tcPr>
          <w:p>
            <w:pPr>
              <w:spacing w:after="0"/>
              <w:jc w:val="left"/>
            </w:pPr>
            <w:r>
              <w:rPr>
                <w:rFonts w:ascii="Arial" w:cs="Arial" w:eastAsia="Arial" w:hAnsi="Arial"/>
                <w:sz w:val="20"/>
                <w:szCs w:val="20"/>
              </w:rPr>
              <w:t xml:space="preserve">Duplicates removed</w:t>
            </w:r>
          </w:p>
        </w:tc>
        <w:tc>
          <w:tcPr>
            <w:tcW w:type="dxa" w:w="3360"/>
            <w:tcBorders>
              <w:top w:val="single" w:color="999999" w:sz="1"/>
              <w:left w:val="single" w:color="999999" w:sz="1"/>
              <w:bottom w:val="single" w:color="999999" w:sz="1"/>
              <w:right w:val="single" w:color="999999" w:sz="1"/>
            </w:tcBorders>
            <w:tcMar>
              <w:top w:type="dxa" w:w="80"/>
              <w:left w:type="dxa" w:w="120"/>
              <w:bottom w:type="dxa" w:w="80"/>
              <w:right w:type="dxa" w:w="120"/>
            </w:tcMar>
          </w:tcPr>
          <w:p>
            <w:pPr>
              <w:spacing w:after="0"/>
              <w:jc w:val="center"/>
            </w:pPr>
            <w:r>
              <w:rPr>
                <w:rFonts w:ascii="Arial" w:cs="Arial" w:eastAsia="Arial" w:hAnsi="Arial"/>
                <w:sz w:val="20"/>
                <w:szCs w:val="20"/>
              </w:rPr>
              <w:t xml:space="preserve">135</w:t>
            </w:r>
          </w:p>
        </w:tc>
      </w:tr>
      <w:tr>
        <w:tc>
          <w:tcPr>
            <w:tcW w:type="dxa" w:w="6000"/>
            <w:tcBorders>
              <w:top w:val="single" w:color="999999" w:sz="1"/>
              <w:left w:val="single" w:color="999999" w:sz="1"/>
              <w:bottom w:val="single" w:color="999999" w:sz="1"/>
              <w:right w:val="single" w:color="999999" w:sz="1"/>
            </w:tcBorders>
            <w:tcMar>
              <w:top w:type="dxa" w:w="80"/>
              <w:left w:type="dxa" w:w="120"/>
              <w:bottom w:type="dxa" w:w="80"/>
              <w:right w:type="dxa" w:w="120"/>
            </w:tcMar>
          </w:tcPr>
          <w:p>
            <w:pPr>
              <w:spacing w:after="0"/>
              <w:jc w:val="left"/>
            </w:pPr>
            <w:r>
              <w:rPr>
                <w:rFonts w:ascii="Arial" w:cs="Arial" w:eastAsia="Arial" w:hAnsi="Arial"/>
                <w:sz w:val="20"/>
                <w:szCs w:val="20"/>
              </w:rPr>
              <w:t xml:space="preserve">Records screened (title and abstract)</w:t>
            </w:r>
          </w:p>
        </w:tc>
        <w:tc>
          <w:tcPr>
            <w:tcW w:type="dxa" w:w="3360"/>
            <w:tcBorders>
              <w:top w:val="single" w:color="999999" w:sz="1"/>
              <w:left w:val="single" w:color="999999" w:sz="1"/>
              <w:bottom w:val="single" w:color="999999" w:sz="1"/>
              <w:right w:val="single" w:color="999999" w:sz="1"/>
            </w:tcBorders>
            <w:tcMar>
              <w:top w:type="dxa" w:w="80"/>
              <w:left w:type="dxa" w:w="120"/>
              <w:bottom w:type="dxa" w:w="80"/>
              <w:right w:type="dxa" w:w="120"/>
            </w:tcMar>
          </w:tcPr>
          <w:p>
            <w:pPr>
              <w:spacing w:after="0"/>
              <w:jc w:val="center"/>
            </w:pPr>
            <w:r>
              <w:rPr>
                <w:rFonts w:ascii="Arial" w:cs="Arial" w:eastAsia="Arial" w:hAnsi="Arial"/>
                <w:sz w:val="20"/>
                <w:szCs w:val="20"/>
              </w:rPr>
              <w:t xml:space="preserve">204</w:t>
            </w:r>
          </w:p>
        </w:tc>
      </w:tr>
      <w:tr>
        <w:tc>
          <w:tcPr>
            <w:tcW w:type="dxa" w:w="6000"/>
            <w:tcBorders>
              <w:top w:val="single" w:color="999999" w:sz="1"/>
              <w:left w:val="single" w:color="999999" w:sz="1"/>
              <w:bottom w:val="single" w:color="999999" w:sz="1"/>
              <w:right w:val="single" w:color="999999" w:sz="1"/>
            </w:tcBorders>
            <w:tcMar>
              <w:top w:type="dxa" w:w="80"/>
              <w:left w:type="dxa" w:w="120"/>
              <w:bottom w:type="dxa" w:w="80"/>
              <w:right w:type="dxa" w:w="120"/>
            </w:tcMar>
          </w:tcPr>
          <w:p>
            <w:pPr>
              <w:spacing w:after="0"/>
              <w:jc w:val="left"/>
            </w:pPr>
            <w:r>
              <w:rPr>
                <w:rFonts w:ascii="Arial" w:cs="Arial" w:eastAsia="Arial" w:hAnsi="Arial"/>
                <w:sz w:val="20"/>
                <w:szCs w:val="20"/>
              </w:rPr>
              <w:t xml:space="preserve">Excluded at title and abstract</w:t>
            </w:r>
          </w:p>
        </w:tc>
        <w:tc>
          <w:tcPr>
            <w:tcW w:type="dxa" w:w="3360"/>
            <w:tcBorders>
              <w:top w:val="single" w:color="999999" w:sz="1"/>
              <w:left w:val="single" w:color="999999" w:sz="1"/>
              <w:bottom w:val="single" w:color="999999" w:sz="1"/>
              <w:right w:val="single" w:color="999999" w:sz="1"/>
            </w:tcBorders>
            <w:tcMar>
              <w:top w:type="dxa" w:w="80"/>
              <w:left w:type="dxa" w:w="120"/>
              <w:bottom w:type="dxa" w:w="80"/>
              <w:right w:type="dxa" w:w="120"/>
            </w:tcMar>
          </w:tcPr>
          <w:p>
            <w:pPr>
              <w:spacing w:after="0"/>
              <w:jc w:val="center"/>
            </w:pPr>
            <w:r>
              <w:rPr>
                <w:rFonts w:ascii="Arial" w:cs="Arial" w:eastAsia="Arial" w:hAnsi="Arial"/>
                <w:sz w:val="20"/>
                <w:szCs w:val="20"/>
              </w:rPr>
              <w:t xml:space="preserve">54</w:t>
            </w:r>
          </w:p>
        </w:tc>
      </w:tr>
      <w:tr>
        <w:tc>
          <w:tcPr>
            <w:tcW w:type="dxa" w:w="6000"/>
            <w:tcBorders>
              <w:top w:val="single" w:color="999999" w:sz="1"/>
              <w:left w:val="single" w:color="999999" w:sz="1"/>
              <w:bottom w:val="single" w:color="999999" w:sz="1"/>
              <w:right w:val="single" w:color="999999" w:sz="1"/>
            </w:tcBorders>
            <w:tcMar>
              <w:top w:type="dxa" w:w="80"/>
              <w:left w:type="dxa" w:w="120"/>
              <w:bottom w:type="dxa" w:w="80"/>
              <w:right w:type="dxa" w:w="120"/>
            </w:tcMar>
          </w:tcPr>
          <w:p>
            <w:pPr>
              <w:spacing w:after="0"/>
              <w:jc w:val="left"/>
            </w:pPr>
            <w:r>
              <w:rPr>
                <w:rFonts w:ascii="Arial" w:cs="Arial" w:eastAsia="Arial" w:hAnsi="Arial"/>
                <w:sz w:val="20"/>
                <w:szCs w:val="20"/>
              </w:rPr>
              <w:t xml:space="preserve">Reports assessed at full text</w:t>
            </w:r>
          </w:p>
        </w:tc>
        <w:tc>
          <w:tcPr>
            <w:tcW w:type="dxa" w:w="3360"/>
            <w:tcBorders>
              <w:top w:val="single" w:color="999999" w:sz="1"/>
              <w:left w:val="single" w:color="999999" w:sz="1"/>
              <w:bottom w:val="single" w:color="999999" w:sz="1"/>
              <w:right w:val="single" w:color="999999" w:sz="1"/>
            </w:tcBorders>
            <w:tcMar>
              <w:top w:type="dxa" w:w="80"/>
              <w:left w:type="dxa" w:w="120"/>
              <w:bottom w:type="dxa" w:w="80"/>
              <w:right w:type="dxa" w:w="120"/>
            </w:tcMar>
          </w:tcPr>
          <w:p>
            <w:pPr>
              <w:spacing w:after="0"/>
              <w:jc w:val="center"/>
            </w:pPr>
            <w:r>
              <w:rPr>
                <w:rFonts w:ascii="Arial" w:cs="Arial" w:eastAsia="Arial" w:hAnsi="Arial"/>
                <w:sz w:val="20"/>
                <w:szCs w:val="20"/>
              </w:rPr>
              <w:t xml:space="preserve">150</w:t>
            </w:r>
          </w:p>
        </w:tc>
      </w:tr>
      <w:tr>
        <w:tc>
          <w:tcPr>
            <w:tcW w:type="dxa" w:w="6000"/>
            <w:tcBorders>
              <w:top w:val="single" w:color="999999" w:sz="1"/>
              <w:left w:val="single" w:color="999999" w:sz="1"/>
              <w:bottom w:val="single" w:color="999999" w:sz="1"/>
              <w:right w:val="single" w:color="999999" w:sz="1"/>
            </w:tcBorders>
            <w:tcMar>
              <w:top w:type="dxa" w:w="80"/>
              <w:left w:type="dxa" w:w="120"/>
              <w:bottom w:type="dxa" w:w="80"/>
              <w:right w:type="dxa" w:w="120"/>
            </w:tcMar>
          </w:tcPr>
          <w:p>
            <w:pPr>
              <w:spacing w:after="0"/>
              <w:jc w:val="left"/>
            </w:pPr>
            <w:r>
              <w:rPr>
                <w:rFonts w:ascii="Arial" w:cs="Arial" w:eastAsia="Arial" w:hAnsi="Arial"/>
                <w:sz w:val="20"/>
                <w:szCs w:val="20"/>
              </w:rPr>
              <w:t xml:space="preserve">Excluded at full text</w:t>
            </w:r>
          </w:p>
        </w:tc>
        <w:tc>
          <w:tcPr>
            <w:tcW w:type="dxa" w:w="3360"/>
            <w:tcBorders>
              <w:top w:val="single" w:color="999999" w:sz="1"/>
              <w:left w:val="single" w:color="999999" w:sz="1"/>
              <w:bottom w:val="single" w:color="999999" w:sz="1"/>
              <w:right w:val="single" w:color="999999" w:sz="1"/>
            </w:tcBorders>
            <w:tcMar>
              <w:top w:type="dxa" w:w="80"/>
              <w:left w:type="dxa" w:w="120"/>
              <w:bottom w:type="dxa" w:w="80"/>
              <w:right w:type="dxa" w:w="120"/>
            </w:tcMar>
          </w:tcPr>
          <w:p>
            <w:pPr>
              <w:spacing w:after="0"/>
              <w:jc w:val="center"/>
            </w:pPr>
            <w:r>
              <w:rPr>
                <w:rFonts w:ascii="Arial" w:cs="Arial" w:eastAsia="Arial" w:hAnsi="Arial"/>
                <w:sz w:val="20"/>
                <w:szCs w:val="20"/>
              </w:rPr>
              <w:t xml:space="preserve">95</w:t>
            </w:r>
          </w:p>
        </w:tc>
      </w:tr>
      <w:tr>
        <w:tc>
          <w:tcPr>
            <w:tcW w:type="dxa" w:w="6000"/>
            <w:tcBorders>
              <w:top w:val="single" w:color="999999" w:sz="1"/>
              <w:left w:val="single" w:color="999999" w:sz="1"/>
              <w:bottom w:val="single" w:color="999999" w:sz="1"/>
              <w:right w:val="single" w:color="999999" w:sz="1"/>
            </w:tcBorders>
            <w:tcMar>
              <w:top w:type="dxa" w:w="80"/>
              <w:left w:type="dxa" w:w="120"/>
              <w:bottom w:type="dxa" w:w="80"/>
              <w:right w:type="dxa" w:w="120"/>
            </w:tcMar>
          </w:tcPr>
          <w:p>
            <w:pPr>
              <w:spacing w:after="0"/>
              <w:jc w:val="left"/>
            </w:pPr>
            <w:r>
              <w:rPr>
                <w:rFonts w:ascii="Arial" w:cs="Arial" w:eastAsia="Arial" w:hAnsi="Arial"/>
                <w:sz w:val="20"/>
                <w:szCs w:val="20"/>
              </w:rPr>
              <w:t xml:space="preserve">Reports assessed by framework checklist</w:t>
            </w:r>
          </w:p>
        </w:tc>
        <w:tc>
          <w:tcPr>
            <w:tcW w:type="dxa" w:w="3360"/>
            <w:tcBorders>
              <w:top w:val="single" w:color="999999" w:sz="1"/>
              <w:left w:val="single" w:color="999999" w:sz="1"/>
              <w:bottom w:val="single" w:color="999999" w:sz="1"/>
              <w:right w:val="single" w:color="999999" w:sz="1"/>
            </w:tcBorders>
            <w:tcMar>
              <w:top w:type="dxa" w:w="80"/>
              <w:left w:type="dxa" w:w="120"/>
              <w:bottom w:type="dxa" w:w="80"/>
              <w:right w:type="dxa" w:w="120"/>
            </w:tcMar>
          </w:tcPr>
          <w:p>
            <w:pPr>
              <w:spacing w:after="0"/>
              <w:jc w:val="center"/>
            </w:pPr>
            <w:r>
              <w:rPr>
                <w:rFonts w:ascii="Arial" w:cs="Arial" w:eastAsia="Arial" w:hAnsi="Arial"/>
                <w:sz w:val="20"/>
                <w:szCs w:val="20"/>
              </w:rPr>
              <w:t xml:space="preserve">55</w:t>
            </w:r>
          </w:p>
        </w:tc>
      </w:tr>
      <w:tr>
        <w:tc>
          <w:tcPr>
            <w:tcW w:type="dxa" w:w="6000"/>
            <w:tcBorders>
              <w:top w:val="single" w:color="999999" w:sz="1"/>
              <w:left w:val="single" w:color="999999" w:sz="1"/>
              <w:bottom w:val="single" w:color="999999" w:sz="1"/>
              <w:right w:val="single" w:color="999999" w:sz="1"/>
            </w:tcBorders>
            <w:tcMar>
              <w:top w:type="dxa" w:w="80"/>
              <w:left w:type="dxa" w:w="120"/>
              <w:bottom w:type="dxa" w:w="80"/>
              <w:right w:type="dxa" w:w="120"/>
            </w:tcMar>
          </w:tcPr>
          <w:p>
            <w:pPr>
              <w:spacing w:after="0"/>
              <w:jc w:val="left"/>
            </w:pPr>
            <w:r>
              <w:rPr>
                <w:rFonts w:ascii="Arial" w:cs="Arial" w:eastAsia="Arial" w:hAnsi="Arial"/>
                <w:sz w:val="20"/>
                <w:szCs w:val="20"/>
              </w:rPr>
              <w:t xml:space="preserve">Excluded below checklist threshold</w:t>
            </w:r>
          </w:p>
        </w:tc>
        <w:tc>
          <w:tcPr>
            <w:tcW w:type="dxa" w:w="3360"/>
            <w:tcBorders>
              <w:top w:val="single" w:color="999999" w:sz="1"/>
              <w:left w:val="single" w:color="999999" w:sz="1"/>
              <w:bottom w:val="single" w:color="999999" w:sz="1"/>
              <w:right w:val="single" w:color="999999" w:sz="1"/>
            </w:tcBorders>
            <w:tcMar>
              <w:top w:type="dxa" w:w="80"/>
              <w:left w:type="dxa" w:w="120"/>
              <w:bottom w:type="dxa" w:w="80"/>
              <w:right w:type="dxa" w:w="120"/>
            </w:tcMar>
          </w:tcPr>
          <w:p>
            <w:pPr>
              <w:spacing w:after="0"/>
              <w:jc w:val="center"/>
            </w:pPr>
            <w:r>
              <w:rPr>
                <w:rFonts w:ascii="Arial" w:cs="Arial" w:eastAsia="Arial" w:hAnsi="Arial"/>
                <w:sz w:val="20"/>
                <w:szCs w:val="20"/>
              </w:rPr>
              <w:t xml:space="preserve">5</w:t>
            </w:r>
          </w:p>
        </w:tc>
      </w:tr>
      <w:tr>
        <w:tc>
          <w:tcPr>
            <w:tcW w:type="dxa" w:w="6000"/>
            <w:tcBorders>
              <w:top w:val="single" w:color="999999" w:sz="1"/>
              <w:left w:val="single" w:color="999999" w:sz="1"/>
              <w:bottom w:val="single" w:color="999999" w:sz="1"/>
              <w:right w:val="single" w:color="999999" w:sz="1"/>
            </w:tcBorders>
            <w:tcMar>
              <w:top w:type="dxa" w:w="80"/>
              <w:left w:type="dxa" w:w="120"/>
              <w:bottom w:type="dxa" w:w="80"/>
              <w:right w:type="dxa" w:w="120"/>
            </w:tcMar>
          </w:tcPr>
          <w:p>
            <w:pPr>
              <w:spacing w:after="0"/>
              <w:jc w:val="left"/>
            </w:pPr>
            <w:r>
              <w:rPr>
                <w:rFonts w:ascii="Arial" w:cs="Arial" w:eastAsia="Arial" w:hAnsi="Arial"/>
                <w:b/>
                <w:bCs/>
                <w:sz w:val="20"/>
                <w:szCs w:val="20"/>
              </w:rPr>
              <w:t xml:space="preserve">Studies included in the review</w:t>
            </w:r>
          </w:p>
        </w:tc>
        <w:tc>
          <w:tcPr>
            <w:tcW w:type="dxa" w:w="3360"/>
            <w:tcBorders>
              <w:top w:val="single" w:color="999999" w:sz="1"/>
              <w:left w:val="single" w:color="999999" w:sz="1"/>
              <w:bottom w:val="single" w:color="999999" w:sz="1"/>
              <w:right w:val="single" w:color="999999" w:sz="1"/>
            </w:tcBorders>
            <w:tcMar>
              <w:top w:type="dxa" w:w="80"/>
              <w:left w:type="dxa" w:w="120"/>
              <w:bottom w:type="dxa" w:w="80"/>
              <w:right w:type="dxa" w:w="120"/>
            </w:tcMar>
          </w:tcPr>
          <w:p>
            <w:pPr>
              <w:spacing w:after="0"/>
              <w:jc w:val="center"/>
            </w:pPr>
            <w:r>
              <w:rPr>
                <w:rFonts w:ascii="Arial" w:cs="Arial" w:eastAsia="Arial" w:hAnsi="Arial"/>
                <w:b/>
                <w:bCs/>
                <w:sz w:val="20"/>
                <w:szCs w:val="20"/>
              </w:rPr>
              <w:t xml:space="preserve">50</w:t>
            </w:r>
          </w:p>
        </w:tc>
      </w:tr>
    </w:tbl>
    <w:p>
      <w:pPr>
        <w:spacing w:after="240"/>
      </w:pPr>
    </w:p>
    <w:p>
      <w:pPr>
        <w:pStyle w:val="Heading2"/>
      </w:pPr>
      <w:r>
        <w:rPr>
          <w:b/>
          <w:bCs/>
        </w:rPr>
        <w:t xml:space="preserve">B. Full-Text Exclusion Reasons (n = 95)</w:t>
      </w:r>
    </w:p>
    <w:p>
      <w:pPr>
        <w:spacing w:after="160"/>
      </w:pPr>
      <w:r>
        <w:rPr>
          <w:sz w:val="22"/>
          <w:szCs w:val="22"/>
        </w:rPr>
        <w:t xml:space="preserve">Table S3.1 presents the categorised reasons for excluding 95 reports at the full-text assessment stage. Full-text exclusion reasons were categorised from the available screening records, titles/abstracts, and eligibility criteria. Where duplicate reports remained after initial deduplication, they were recorded as duplicate reports identified during full-text screening.</w:t>
      </w:r>
    </w:p>
    <w:p>
      <w:pPr>
        <w:spacing w:after="80"/>
      </w:pPr>
      <w:r>
        <w:rPr>
          <w:rFonts w:ascii="Arial" w:cs="Arial" w:eastAsia="Arial" w:hAnsi="Arial"/>
          <w:b/>
          <w:bCs/>
          <w:sz w:val="20"/>
          <w:szCs w:val="20"/>
        </w:rPr>
        <w:t xml:space="preserve">Table S3.1. </w:t>
      </w:r>
      <w:r>
        <w:rPr>
          <w:rFonts w:ascii="Arial" w:cs="Arial" w:eastAsia="Arial" w:hAnsi="Arial"/>
          <w:i/>
          <w:iCs/>
          <w:sz w:val="20"/>
          <w:szCs w:val="20"/>
        </w:rPr>
        <w:t xml:space="preserve">Full-text exclusion reasons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160"/>
        <w:gridCol w:w="1200"/>
      </w:tblGrid>
      <w:tr>
        <w:tc>
          <w:tcPr>
            <w:tcW w:type="dxa" w:w="8160"/>
            <w:tcBorders>
              <w:top w:val="single" w:color="999999" w:sz="1"/>
              <w:left w:val="single" w:color="999999" w:sz="1"/>
              <w:bottom w:val="single" w:color="999999" w:sz="1"/>
              <w:right w:val="single" w:color="999999" w:sz="1"/>
            </w:tcBorders>
            <w:shd w:fill="D9E2F3" w:val="clear"/>
            <w:tcMar>
              <w:top w:type="dxa" w:w="80"/>
              <w:left w:type="dxa" w:w="120"/>
              <w:bottom w:type="dxa" w:w="80"/>
              <w:right w:type="dxa" w:w="120"/>
            </w:tcMar>
          </w:tcPr>
          <w:p>
            <w:pPr>
              <w:spacing w:after="0"/>
              <w:jc w:val="left"/>
            </w:pPr>
            <w:r>
              <w:rPr>
                <w:rFonts w:ascii="Arial" w:cs="Arial" w:eastAsia="Arial" w:hAnsi="Arial"/>
                <w:b/>
                <w:bCs/>
                <w:sz w:val="20"/>
                <w:szCs w:val="20"/>
                <w:shd/>
              </w:rPr>
              <w:t xml:space="preserve">Exclusion reason</w:t>
            </w:r>
          </w:p>
        </w:tc>
        <w:tc>
          <w:tcPr>
            <w:tcW w:type="dxa" w:w="1200"/>
            <w:tcBorders>
              <w:top w:val="single" w:color="999999" w:sz="1"/>
              <w:left w:val="single" w:color="999999" w:sz="1"/>
              <w:bottom w:val="single" w:color="999999" w:sz="1"/>
              <w:right w:val="single" w:color="999999" w:sz="1"/>
            </w:tcBorders>
            <w:shd w:fill="D9E2F3" w:val="clear"/>
            <w:tcMar>
              <w:top w:type="dxa" w:w="80"/>
              <w:left w:type="dxa" w:w="120"/>
              <w:bottom w:type="dxa" w:w="80"/>
              <w:right w:type="dxa" w:w="120"/>
            </w:tcMar>
          </w:tcPr>
          <w:p>
            <w:pPr>
              <w:spacing w:after="0"/>
              <w:jc w:val="left"/>
            </w:pPr>
            <w:r>
              <w:rPr>
                <w:rFonts w:ascii="Arial" w:cs="Arial" w:eastAsia="Arial" w:hAnsi="Arial"/>
                <w:b/>
                <w:bCs/>
                <w:sz w:val="20"/>
                <w:szCs w:val="20"/>
                <w:shd/>
              </w:rPr>
              <w:t xml:space="preserve">n</w:t>
            </w:r>
          </w:p>
        </w:tc>
      </w:tr>
      <w:tr>
        <w:tc>
          <w:tcPr>
            <w:tcW w:type="dxa" w:w="8160"/>
            <w:tcBorders>
              <w:top w:val="single" w:color="999999" w:sz="1"/>
              <w:left w:val="single" w:color="999999" w:sz="1"/>
              <w:bottom w:val="single" w:color="999999" w:sz="1"/>
              <w:right w:val="single" w:color="999999" w:sz="1"/>
            </w:tcBorders>
            <w:tcMar>
              <w:top w:type="dxa" w:w="80"/>
              <w:left w:type="dxa" w:w="120"/>
              <w:bottom w:type="dxa" w:w="80"/>
              <w:right w:type="dxa" w:w="120"/>
            </w:tcMar>
          </w:tcPr>
          <w:p>
            <w:pPr>
              <w:spacing w:after="0"/>
              <w:jc w:val="left"/>
            </w:pPr>
            <w:r>
              <w:rPr>
                <w:rFonts w:ascii="Arial" w:cs="Arial" w:eastAsia="Arial" w:hAnsi="Arial"/>
                <w:sz w:val="20"/>
                <w:szCs w:val="20"/>
              </w:rPr>
              <w:t xml:space="preserve">No framework, curriculum, competency model, or assessment structure</w:t>
            </w:r>
          </w:p>
        </w:tc>
        <w:tc>
          <w:tcPr>
            <w:tcW w:type="dxa" w:w="1200"/>
            <w:tcBorders>
              <w:top w:val="single" w:color="999999" w:sz="1"/>
              <w:left w:val="single" w:color="999999" w:sz="1"/>
              <w:bottom w:val="single" w:color="999999" w:sz="1"/>
              <w:right w:val="single" w:color="999999" w:sz="1"/>
            </w:tcBorders>
            <w:tcMar>
              <w:top w:type="dxa" w:w="80"/>
              <w:left w:type="dxa" w:w="120"/>
              <w:bottom w:type="dxa" w:w="80"/>
              <w:right w:type="dxa" w:w="120"/>
            </w:tcMar>
          </w:tcPr>
          <w:p>
            <w:pPr>
              <w:spacing w:after="0"/>
              <w:jc w:val="center"/>
            </w:pPr>
            <w:r>
              <w:rPr>
                <w:rFonts w:ascii="Arial" w:cs="Arial" w:eastAsia="Arial" w:hAnsi="Arial"/>
                <w:sz w:val="20"/>
                <w:szCs w:val="20"/>
              </w:rPr>
              <w:t xml:space="preserve">33</w:t>
            </w:r>
          </w:p>
        </w:tc>
      </w:tr>
      <w:tr>
        <w:tc>
          <w:tcPr>
            <w:tcW w:type="dxa" w:w="8160"/>
            <w:tcBorders>
              <w:top w:val="single" w:color="999999" w:sz="1"/>
              <w:left w:val="single" w:color="999999" w:sz="1"/>
              <w:bottom w:val="single" w:color="999999" w:sz="1"/>
              <w:right w:val="single" w:color="999999" w:sz="1"/>
            </w:tcBorders>
            <w:tcMar>
              <w:top w:type="dxa" w:w="80"/>
              <w:left w:type="dxa" w:w="120"/>
              <w:bottom w:type="dxa" w:w="80"/>
              <w:right w:type="dxa" w:w="120"/>
            </w:tcMar>
          </w:tcPr>
          <w:p>
            <w:pPr>
              <w:spacing w:after="0"/>
              <w:jc w:val="left"/>
            </w:pPr>
            <w:r>
              <w:rPr>
                <w:rFonts w:ascii="Arial" w:cs="Arial" w:eastAsia="Arial" w:hAnsi="Arial"/>
                <w:sz w:val="20"/>
                <w:szCs w:val="20"/>
              </w:rPr>
              <w:t xml:space="preserve">Teacher/educator-focused without student-facing K–12 framework</w:t>
            </w:r>
          </w:p>
        </w:tc>
        <w:tc>
          <w:tcPr>
            <w:tcW w:type="dxa" w:w="1200"/>
            <w:tcBorders>
              <w:top w:val="single" w:color="999999" w:sz="1"/>
              <w:left w:val="single" w:color="999999" w:sz="1"/>
              <w:bottom w:val="single" w:color="999999" w:sz="1"/>
              <w:right w:val="single" w:color="999999" w:sz="1"/>
            </w:tcBorders>
            <w:tcMar>
              <w:top w:type="dxa" w:w="80"/>
              <w:left w:type="dxa" w:w="120"/>
              <w:bottom w:type="dxa" w:w="80"/>
              <w:right w:type="dxa" w:w="120"/>
            </w:tcMar>
          </w:tcPr>
          <w:p>
            <w:pPr>
              <w:spacing w:after="0"/>
              <w:jc w:val="center"/>
            </w:pPr>
            <w:r>
              <w:rPr>
                <w:rFonts w:ascii="Arial" w:cs="Arial" w:eastAsia="Arial" w:hAnsi="Arial"/>
                <w:sz w:val="20"/>
                <w:szCs w:val="20"/>
              </w:rPr>
              <w:t xml:space="preserve">27</w:t>
            </w:r>
          </w:p>
        </w:tc>
      </w:tr>
      <w:tr>
        <w:tc>
          <w:tcPr>
            <w:tcW w:type="dxa" w:w="8160"/>
            <w:tcBorders>
              <w:top w:val="single" w:color="999999" w:sz="1"/>
              <w:left w:val="single" w:color="999999" w:sz="1"/>
              <w:bottom w:val="single" w:color="999999" w:sz="1"/>
              <w:right w:val="single" w:color="999999" w:sz="1"/>
            </w:tcBorders>
            <w:tcMar>
              <w:top w:type="dxa" w:w="80"/>
              <w:left w:type="dxa" w:w="120"/>
              <w:bottom w:type="dxa" w:w="80"/>
              <w:right w:type="dxa" w:w="120"/>
            </w:tcMar>
          </w:tcPr>
          <w:p>
            <w:pPr>
              <w:spacing w:after="0"/>
              <w:jc w:val="left"/>
            </w:pPr>
            <w:r>
              <w:rPr>
                <w:rFonts w:ascii="Arial" w:cs="Arial" w:eastAsia="Arial" w:hAnsi="Arial"/>
                <w:sz w:val="20"/>
                <w:szCs w:val="20"/>
              </w:rPr>
              <w:t xml:space="preserve">Perceptions, attitudes, or adoption study without framework contribution</w:t>
            </w:r>
          </w:p>
        </w:tc>
        <w:tc>
          <w:tcPr>
            <w:tcW w:type="dxa" w:w="1200"/>
            <w:tcBorders>
              <w:top w:val="single" w:color="999999" w:sz="1"/>
              <w:left w:val="single" w:color="999999" w:sz="1"/>
              <w:bottom w:val="single" w:color="999999" w:sz="1"/>
              <w:right w:val="single" w:color="999999" w:sz="1"/>
            </w:tcBorders>
            <w:tcMar>
              <w:top w:type="dxa" w:w="80"/>
              <w:left w:type="dxa" w:w="120"/>
              <w:bottom w:type="dxa" w:w="80"/>
              <w:right w:type="dxa" w:w="120"/>
            </w:tcMar>
          </w:tcPr>
          <w:p>
            <w:pPr>
              <w:spacing w:after="0"/>
              <w:jc w:val="center"/>
            </w:pPr>
            <w:r>
              <w:rPr>
                <w:rFonts w:ascii="Arial" w:cs="Arial" w:eastAsia="Arial" w:hAnsi="Arial"/>
                <w:sz w:val="20"/>
                <w:szCs w:val="20"/>
              </w:rPr>
              <w:t xml:space="preserve">9</w:t>
            </w:r>
          </w:p>
        </w:tc>
      </w:tr>
      <w:tr>
        <w:tc>
          <w:tcPr>
            <w:tcW w:type="dxa" w:w="8160"/>
            <w:tcBorders>
              <w:top w:val="single" w:color="999999" w:sz="1"/>
              <w:left w:val="single" w:color="999999" w:sz="1"/>
              <w:bottom w:val="single" w:color="999999" w:sz="1"/>
              <w:right w:val="single" w:color="999999" w:sz="1"/>
            </w:tcBorders>
            <w:tcMar>
              <w:top w:type="dxa" w:w="80"/>
              <w:left w:type="dxa" w:w="120"/>
              <w:bottom w:type="dxa" w:w="80"/>
              <w:right w:type="dxa" w:w="120"/>
            </w:tcMar>
          </w:tcPr>
          <w:p>
            <w:pPr>
              <w:spacing w:after="0"/>
              <w:jc w:val="left"/>
            </w:pPr>
            <w:r>
              <w:rPr>
                <w:rFonts w:ascii="Arial" w:cs="Arial" w:eastAsia="Arial" w:hAnsi="Arial"/>
                <w:sz w:val="20"/>
                <w:szCs w:val="20"/>
              </w:rPr>
              <w:t xml:space="preserve">AI use in education without AI literacy focus</w:t>
            </w:r>
          </w:p>
        </w:tc>
        <w:tc>
          <w:tcPr>
            <w:tcW w:type="dxa" w:w="1200"/>
            <w:tcBorders>
              <w:top w:val="single" w:color="999999" w:sz="1"/>
              <w:left w:val="single" w:color="999999" w:sz="1"/>
              <w:bottom w:val="single" w:color="999999" w:sz="1"/>
              <w:right w:val="single" w:color="999999" w:sz="1"/>
            </w:tcBorders>
            <w:tcMar>
              <w:top w:type="dxa" w:w="80"/>
              <w:left w:type="dxa" w:w="120"/>
              <w:bottom w:type="dxa" w:w="80"/>
              <w:right w:type="dxa" w:w="120"/>
            </w:tcMar>
          </w:tcPr>
          <w:p>
            <w:pPr>
              <w:spacing w:after="0"/>
              <w:jc w:val="center"/>
            </w:pPr>
            <w:r>
              <w:rPr>
                <w:rFonts w:ascii="Arial" w:cs="Arial" w:eastAsia="Arial" w:hAnsi="Arial"/>
                <w:sz w:val="20"/>
                <w:szCs w:val="20"/>
              </w:rPr>
              <w:t xml:space="preserve">9</w:t>
            </w:r>
          </w:p>
        </w:tc>
      </w:tr>
      <w:tr>
        <w:tc>
          <w:tcPr>
            <w:tcW w:type="dxa" w:w="8160"/>
            <w:tcBorders>
              <w:top w:val="single" w:color="999999" w:sz="1"/>
              <w:left w:val="single" w:color="999999" w:sz="1"/>
              <w:bottom w:val="single" w:color="999999" w:sz="1"/>
              <w:right w:val="single" w:color="999999" w:sz="1"/>
            </w:tcBorders>
            <w:tcMar>
              <w:top w:type="dxa" w:w="80"/>
              <w:left w:type="dxa" w:w="120"/>
              <w:bottom w:type="dxa" w:w="80"/>
              <w:right w:type="dxa" w:w="120"/>
            </w:tcMar>
          </w:tcPr>
          <w:p>
            <w:pPr>
              <w:spacing w:after="0"/>
              <w:jc w:val="left"/>
            </w:pPr>
            <w:r>
              <w:rPr>
                <w:rFonts w:ascii="Arial" w:cs="Arial" w:eastAsia="Arial" w:hAnsi="Arial"/>
                <w:sz w:val="20"/>
                <w:szCs w:val="20"/>
              </w:rPr>
              <w:t xml:space="preserve">Review or literature synthesis without eligible framework-level contribution</w:t>
            </w:r>
          </w:p>
        </w:tc>
        <w:tc>
          <w:tcPr>
            <w:tcW w:type="dxa" w:w="1200"/>
            <w:tcBorders>
              <w:top w:val="single" w:color="999999" w:sz="1"/>
              <w:left w:val="single" w:color="999999" w:sz="1"/>
              <w:bottom w:val="single" w:color="999999" w:sz="1"/>
              <w:right w:val="single" w:color="999999" w:sz="1"/>
            </w:tcBorders>
            <w:tcMar>
              <w:top w:type="dxa" w:w="80"/>
              <w:left w:type="dxa" w:w="120"/>
              <w:bottom w:type="dxa" w:w="80"/>
              <w:right w:type="dxa" w:w="120"/>
            </w:tcMar>
          </w:tcPr>
          <w:p>
            <w:pPr>
              <w:spacing w:after="0"/>
              <w:jc w:val="center"/>
            </w:pPr>
            <w:r>
              <w:rPr>
                <w:rFonts w:ascii="Arial" w:cs="Arial" w:eastAsia="Arial" w:hAnsi="Arial"/>
                <w:sz w:val="20"/>
                <w:szCs w:val="20"/>
              </w:rPr>
              <w:t xml:space="preserve">7</w:t>
            </w:r>
          </w:p>
        </w:tc>
      </w:tr>
      <w:tr>
        <w:tc>
          <w:tcPr>
            <w:tcW w:type="dxa" w:w="8160"/>
            <w:tcBorders>
              <w:top w:val="single" w:color="999999" w:sz="1"/>
              <w:left w:val="single" w:color="999999" w:sz="1"/>
              <w:bottom w:val="single" w:color="999999" w:sz="1"/>
              <w:right w:val="single" w:color="999999" w:sz="1"/>
            </w:tcBorders>
            <w:tcMar>
              <w:top w:type="dxa" w:w="80"/>
              <w:left w:type="dxa" w:w="120"/>
              <w:bottom w:type="dxa" w:w="80"/>
              <w:right w:type="dxa" w:w="120"/>
            </w:tcMar>
          </w:tcPr>
          <w:p>
            <w:pPr>
              <w:spacing w:after="0"/>
              <w:jc w:val="left"/>
            </w:pPr>
            <w:r>
              <w:rPr>
                <w:rFonts w:ascii="Arial" w:cs="Arial" w:eastAsia="Arial" w:hAnsi="Arial"/>
                <w:sz w:val="20"/>
                <w:szCs w:val="20"/>
              </w:rPr>
              <w:t xml:space="preserve">Not K–12 context</w:t>
            </w:r>
          </w:p>
        </w:tc>
        <w:tc>
          <w:tcPr>
            <w:tcW w:type="dxa" w:w="1200"/>
            <w:tcBorders>
              <w:top w:val="single" w:color="999999" w:sz="1"/>
              <w:left w:val="single" w:color="999999" w:sz="1"/>
              <w:bottom w:val="single" w:color="999999" w:sz="1"/>
              <w:right w:val="single" w:color="999999" w:sz="1"/>
            </w:tcBorders>
            <w:tcMar>
              <w:top w:type="dxa" w:w="80"/>
              <w:left w:type="dxa" w:w="120"/>
              <w:bottom w:type="dxa" w:w="80"/>
              <w:right w:type="dxa" w:w="120"/>
            </w:tcMar>
          </w:tcPr>
          <w:p>
            <w:pPr>
              <w:spacing w:after="0"/>
              <w:jc w:val="center"/>
            </w:pPr>
            <w:r>
              <w:rPr>
                <w:rFonts w:ascii="Arial" w:cs="Arial" w:eastAsia="Arial" w:hAnsi="Arial"/>
                <w:sz w:val="20"/>
                <w:szCs w:val="20"/>
              </w:rPr>
              <w:t xml:space="preserve">5</w:t>
            </w:r>
          </w:p>
        </w:tc>
      </w:tr>
      <w:tr>
        <w:tc>
          <w:tcPr>
            <w:tcW w:type="dxa" w:w="8160"/>
            <w:tcBorders>
              <w:top w:val="single" w:color="999999" w:sz="1"/>
              <w:left w:val="single" w:color="999999" w:sz="1"/>
              <w:bottom w:val="single" w:color="999999" w:sz="1"/>
              <w:right w:val="single" w:color="999999" w:sz="1"/>
            </w:tcBorders>
            <w:tcMar>
              <w:top w:type="dxa" w:w="80"/>
              <w:left w:type="dxa" w:w="120"/>
              <w:bottom w:type="dxa" w:w="80"/>
              <w:right w:type="dxa" w:w="120"/>
            </w:tcMar>
          </w:tcPr>
          <w:p>
            <w:pPr>
              <w:spacing w:after="0"/>
              <w:jc w:val="left"/>
            </w:pPr>
            <w:r>
              <w:rPr>
                <w:rFonts w:ascii="Arial" w:cs="Arial" w:eastAsia="Arial" w:hAnsi="Arial"/>
                <w:sz w:val="20"/>
                <w:szCs w:val="20"/>
              </w:rPr>
              <w:t xml:space="preserve">Wrong publication type</w:t>
            </w:r>
          </w:p>
        </w:tc>
        <w:tc>
          <w:tcPr>
            <w:tcW w:type="dxa" w:w="1200"/>
            <w:tcBorders>
              <w:top w:val="single" w:color="999999" w:sz="1"/>
              <w:left w:val="single" w:color="999999" w:sz="1"/>
              <w:bottom w:val="single" w:color="999999" w:sz="1"/>
              <w:right w:val="single" w:color="999999" w:sz="1"/>
            </w:tcBorders>
            <w:tcMar>
              <w:top w:type="dxa" w:w="80"/>
              <w:left w:type="dxa" w:w="120"/>
              <w:bottom w:type="dxa" w:w="80"/>
              <w:right w:type="dxa" w:w="120"/>
            </w:tcMar>
          </w:tcPr>
          <w:p>
            <w:pPr>
              <w:spacing w:after="0"/>
              <w:jc w:val="center"/>
            </w:pPr>
            <w:r>
              <w:rPr>
                <w:rFonts w:ascii="Arial" w:cs="Arial" w:eastAsia="Arial" w:hAnsi="Arial"/>
                <w:sz w:val="20"/>
                <w:szCs w:val="20"/>
              </w:rPr>
              <w:t xml:space="preserve">2</w:t>
            </w:r>
          </w:p>
        </w:tc>
      </w:tr>
      <w:tr>
        <w:tc>
          <w:tcPr>
            <w:tcW w:type="dxa" w:w="8160"/>
            <w:tcBorders>
              <w:top w:val="single" w:color="999999" w:sz="1"/>
              <w:left w:val="single" w:color="999999" w:sz="1"/>
              <w:bottom w:val="single" w:color="999999" w:sz="1"/>
              <w:right w:val="single" w:color="999999" w:sz="1"/>
            </w:tcBorders>
            <w:tcMar>
              <w:top w:type="dxa" w:w="80"/>
              <w:left w:type="dxa" w:w="120"/>
              <w:bottom w:type="dxa" w:w="80"/>
              <w:right w:type="dxa" w:w="120"/>
            </w:tcMar>
          </w:tcPr>
          <w:p>
            <w:pPr>
              <w:spacing w:after="0"/>
              <w:jc w:val="left"/>
            </w:pPr>
            <w:r>
              <w:rPr>
                <w:rFonts w:ascii="Arial" w:cs="Arial" w:eastAsia="Arial" w:hAnsi="Arial"/>
                <w:sz w:val="20"/>
                <w:szCs w:val="20"/>
              </w:rPr>
              <w:t xml:space="preserve">Duplicate report identified during full-text screening</w:t>
            </w:r>
          </w:p>
        </w:tc>
        <w:tc>
          <w:tcPr>
            <w:tcW w:type="dxa" w:w="1200"/>
            <w:tcBorders>
              <w:top w:val="single" w:color="999999" w:sz="1"/>
              <w:left w:val="single" w:color="999999" w:sz="1"/>
              <w:bottom w:val="single" w:color="999999" w:sz="1"/>
              <w:right w:val="single" w:color="999999" w:sz="1"/>
            </w:tcBorders>
            <w:tcMar>
              <w:top w:type="dxa" w:w="80"/>
              <w:left w:type="dxa" w:w="120"/>
              <w:bottom w:type="dxa" w:w="80"/>
              <w:right w:type="dxa" w:w="120"/>
            </w:tcMar>
          </w:tcPr>
          <w:p>
            <w:pPr>
              <w:spacing w:after="0"/>
              <w:jc w:val="center"/>
            </w:pPr>
            <w:r>
              <w:rPr>
                <w:rFonts w:ascii="Arial" w:cs="Arial" w:eastAsia="Arial" w:hAnsi="Arial"/>
                <w:sz w:val="20"/>
                <w:szCs w:val="20"/>
              </w:rPr>
              <w:t xml:space="preserve">3</w:t>
            </w:r>
          </w:p>
        </w:tc>
      </w:tr>
      <w:tr>
        <w:tc>
          <w:tcPr>
            <w:tcW w:type="dxa" w:w="8160"/>
            <w:tcBorders>
              <w:top w:val="single" w:color="999999" w:sz="1"/>
              <w:left w:val="single" w:color="999999" w:sz="1"/>
              <w:bottom w:val="single" w:color="999999" w:sz="1"/>
              <w:right w:val="single" w:color="999999" w:sz="1"/>
            </w:tcBorders>
            <w:tcMar>
              <w:top w:type="dxa" w:w="80"/>
              <w:left w:type="dxa" w:w="120"/>
              <w:bottom w:type="dxa" w:w="80"/>
              <w:right w:type="dxa" w:w="120"/>
            </w:tcMar>
          </w:tcPr>
          <w:p>
            <w:pPr>
              <w:spacing w:after="0"/>
              <w:jc w:val="left"/>
            </w:pPr>
            <w:r>
              <w:rPr>
                <w:rFonts w:ascii="Arial" w:cs="Arial" w:eastAsia="Arial" w:hAnsi="Arial"/>
                <w:b/>
                <w:bCs/>
                <w:sz w:val="20"/>
                <w:szCs w:val="20"/>
              </w:rPr>
              <w:t xml:space="preserve">Total</w:t>
            </w:r>
          </w:p>
        </w:tc>
        <w:tc>
          <w:tcPr>
            <w:tcW w:type="dxa" w:w="1200"/>
            <w:tcBorders>
              <w:top w:val="single" w:color="999999" w:sz="1"/>
              <w:left w:val="single" w:color="999999" w:sz="1"/>
              <w:bottom w:val="single" w:color="999999" w:sz="1"/>
              <w:right w:val="single" w:color="999999" w:sz="1"/>
            </w:tcBorders>
            <w:tcMar>
              <w:top w:type="dxa" w:w="80"/>
              <w:left w:type="dxa" w:w="120"/>
              <w:bottom w:type="dxa" w:w="80"/>
              <w:right w:type="dxa" w:w="120"/>
            </w:tcMar>
          </w:tcPr>
          <w:p>
            <w:pPr>
              <w:spacing w:after="0"/>
              <w:jc w:val="center"/>
            </w:pPr>
            <w:r>
              <w:rPr>
                <w:rFonts w:ascii="Arial" w:cs="Arial" w:eastAsia="Arial" w:hAnsi="Arial"/>
                <w:b/>
                <w:bCs/>
                <w:sz w:val="20"/>
                <w:szCs w:val="20"/>
              </w:rPr>
              <w:t xml:space="preserve">95</w:t>
            </w:r>
          </w:p>
        </w:tc>
      </w:tr>
    </w:tbl>
    <w:p>
      <w:pPr>
        <w:spacing w:after="240"/>
      </w:pPr>
    </w:p>
    <w:p>
      <w:pPr>
        <w:pStyle w:val="Heading2"/>
      </w:pPr>
      <w:r>
        <w:rPr>
          <w:b/>
          <w:bCs/>
        </w:rPr>
        <w:t xml:space="preserve">C. Checklist-Stage Exclusions (n = 5)</w:t>
      </w:r>
    </w:p>
    <w:p>
      <w:pPr>
        <w:spacing w:after="120"/>
      </w:pPr>
      <w:r>
        <w:rPr>
          <w:sz w:val="22"/>
          <w:szCs w:val="22"/>
        </w:rPr>
        <w:t xml:space="preserve">Following full-text assessment, 55 reports were appraised using the five-criterion framework checklist described in Supplementary File 4. Each report was scored across five criteria: (a) grade-banded AI literacy framework, (b) competencies or constructs, (c) critical constructs, (d) assessment, and (e) exemplars. Reports scoring below the 2/5 inclusion threshold were excluded.</w:t>
      </w:r>
    </w:p>
    <w:p>
      <w:pPr>
        <w:spacing w:after="80"/>
      </w:pPr>
      <w:r>
        <w:rPr>
          <w:rFonts w:ascii="Arial" w:cs="Arial" w:eastAsia="Arial" w:hAnsi="Arial"/>
          <w:b/>
          <w:bCs/>
          <w:sz w:val="20"/>
          <w:szCs w:val="20"/>
        </w:rPr>
        <w:t xml:space="preserve">Table S3.2. </w:t>
      </w:r>
      <w:r>
        <w:rPr>
          <w:rFonts w:ascii="Arial" w:cs="Arial" w:eastAsia="Arial" w:hAnsi="Arial"/>
          <w:i/>
          <w:iCs/>
          <w:sz w:val="20"/>
          <w:szCs w:val="20"/>
        </w:rPr>
        <w:t xml:space="preserve">Checklist-stage exclusion reasons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160"/>
        <w:gridCol w:w="1200"/>
      </w:tblGrid>
      <w:tr>
        <w:tc>
          <w:tcPr>
            <w:tcW w:type="dxa" w:w="8160"/>
            <w:tcBorders>
              <w:top w:val="single" w:color="999999" w:sz="1"/>
              <w:left w:val="single" w:color="999999" w:sz="1"/>
              <w:bottom w:val="single" w:color="999999" w:sz="1"/>
              <w:right w:val="single" w:color="999999" w:sz="1"/>
            </w:tcBorders>
            <w:shd w:fill="D9E2F3" w:val="clear"/>
            <w:tcMar>
              <w:top w:type="dxa" w:w="80"/>
              <w:left w:type="dxa" w:w="120"/>
              <w:bottom w:type="dxa" w:w="80"/>
              <w:right w:type="dxa" w:w="120"/>
            </w:tcMar>
          </w:tcPr>
          <w:p>
            <w:pPr>
              <w:spacing w:after="0"/>
              <w:jc w:val="left"/>
            </w:pPr>
            <w:r>
              <w:rPr>
                <w:rFonts w:ascii="Arial" w:cs="Arial" w:eastAsia="Arial" w:hAnsi="Arial"/>
                <w:b/>
                <w:bCs/>
                <w:sz w:val="20"/>
                <w:szCs w:val="20"/>
                <w:shd/>
              </w:rPr>
              <w:t xml:space="preserve">Exclusion reason</w:t>
            </w:r>
          </w:p>
        </w:tc>
        <w:tc>
          <w:tcPr>
            <w:tcW w:type="dxa" w:w="1200"/>
            <w:tcBorders>
              <w:top w:val="single" w:color="999999" w:sz="1"/>
              <w:left w:val="single" w:color="999999" w:sz="1"/>
              <w:bottom w:val="single" w:color="999999" w:sz="1"/>
              <w:right w:val="single" w:color="999999" w:sz="1"/>
            </w:tcBorders>
            <w:shd w:fill="D9E2F3" w:val="clear"/>
            <w:tcMar>
              <w:top w:type="dxa" w:w="80"/>
              <w:left w:type="dxa" w:w="120"/>
              <w:bottom w:type="dxa" w:w="80"/>
              <w:right w:type="dxa" w:w="120"/>
            </w:tcMar>
          </w:tcPr>
          <w:p>
            <w:pPr>
              <w:spacing w:after="0"/>
              <w:jc w:val="left"/>
            </w:pPr>
            <w:r>
              <w:rPr>
                <w:rFonts w:ascii="Arial" w:cs="Arial" w:eastAsia="Arial" w:hAnsi="Arial"/>
                <w:b/>
                <w:bCs/>
                <w:sz w:val="20"/>
                <w:szCs w:val="20"/>
                <w:shd/>
              </w:rPr>
              <w:t xml:space="preserve">n</w:t>
            </w:r>
          </w:p>
        </w:tc>
      </w:tr>
      <w:tr>
        <w:tc>
          <w:tcPr>
            <w:tcW w:type="dxa" w:w="8160"/>
            <w:tcBorders>
              <w:top w:val="single" w:color="999999" w:sz="1"/>
              <w:left w:val="single" w:color="999999" w:sz="1"/>
              <w:bottom w:val="single" w:color="999999" w:sz="1"/>
              <w:right w:val="single" w:color="999999" w:sz="1"/>
            </w:tcBorders>
            <w:tcMar>
              <w:top w:type="dxa" w:w="80"/>
              <w:left w:type="dxa" w:w="120"/>
              <w:bottom w:type="dxa" w:w="80"/>
              <w:right w:type="dxa" w:w="120"/>
            </w:tcMar>
          </w:tcPr>
          <w:p>
            <w:pPr>
              <w:spacing w:after="0"/>
              <w:jc w:val="left"/>
            </w:pPr>
            <w:r>
              <w:rPr>
                <w:rFonts w:ascii="Arial" w:cs="Arial" w:eastAsia="Arial" w:hAnsi="Arial"/>
                <w:sz w:val="20"/>
                <w:szCs w:val="20"/>
              </w:rPr>
              <w:t xml:space="preserve">Scored below 2/5 on the five-criterion framework checklist</w:t>
            </w:r>
          </w:p>
        </w:tc>
        <w:tc>
          <w:tcPr>
            <w:tcW w:type="dxa" w:w="1200"/>
            <w:tcBorders>
              <w:top w:val="single" w:color="999999" w:sz="1"/>
              <w:left w:val="single" w:color="999999" w:sz="1"/>
              <w:bottom w:val="single" w:color="999999" w:sz="1"/>
              <w:right w:val="single" w:color="999999" w:sz="1"/>
            </w:tcBorders>
            <w:tcMar>
              <w:top w:type="dxa" w:w="80"/>
              <w:left w:type="dxa" w:w="120"/>
              <w:bottom w:type="dxa" w:w="80"/>
              <w:right w:type="dxa" w:w="120"/>
            </w:tcMar>
          </w:tcPr>
          <w:p>
            <w:pPr>
              <w:spacing w:after="0"/>
              <w:jc w:val="center"/>
            </w:pPr>
            <w:r>
              <w:rPr>
                <w:rFonts w:ascii="Arial" w:cs="Arial" w:eastAsia="Arial" w:hAnsi="Arial"/>
                <w:sz w:val="20"/>
                <w:szCs w:val="20"/>
              </w:rPr>
              <w:t xml:space="preserve">5</w:t>
            </w:r>
          </w:p>
        </w:tc>
      </w:tr>
      <w:tr>
        <w:tc>
          <w:tcPr>
            <w:tcW w:type="dxa" w:w="8160"/>
            <w:tcBorders>
              <w:top w:val="single" w:color="999999" w:sz="1"/>
              <w:left w:val="single" w:color="999999" w:sz="1"/>
              <w:bottom w:val="single" w:color="999999" w:sz="1"/>
              <w:right w:val="single" w:color="999999" w:sz="1"/>
            </w:tcBorders>
            <w:tcMar>
              <w:top w:type="dxa" w:w="80"/>
              <w:left w:type="dxa" w:w="120"/>
              <w:bottom w:type="dxa" w:w="80"/>
              <w:right w:type="dxa" w:w="120"/>
            </w:tcMar>
          </w:tcPr>
          <w:p>
            <w:pPr>
              <w:spacing w:after="0"/>
              <w:jc w:val="left"/>
            </w:pPr>
            <w:r>
              <w:rPr>
                <w:rFonts w:ascii="Arial" w:cs="Arial" w:eastAsia="Arial" w:hAnsi="Arial"/>
                <w:b/>
                <w:bCs/>
                <w:sz w:val="20"/>
                <w:szCs w:val="20"/>
              </w:rPr>
              <w:t xml:space="preserve">Total</w:t>
            </w:r>
          </w:p>
        </w:tc>
        <w:tc>
          <w:tcPr>
            <w:tcW w:type="dxa" w:w="1200"/>
            <w:tcBorders>
              <w:top w:val="single" w:color="999999" w:sz="1"/>
              <w:left w:val="single" w:color="999999" w:sz="1"/>
              <w:bottom w:val="single" w:color="999999" w:sz="1"/>
              <w:right w:val="single" w:color="999999" w:sz="1"/>
            </w:tcBorders>
            <w:tcMar>
              <w:top w:type="dxa" w:w="80"/>
              <w:left w:type="dxa" w:w="120"/>
              <w:bottom w:type="dxa" w:w="80"/>
              <w:right w:type="dxa" w:w="120"/>
            </w:tcMar>
          </w:tcPr>
          <w:p>
            <w:pPr>
              <w:spacing w:after="0"/>
              <w:jc w:val="center"/>
            </w:pPr>
            <w:r>
              <w:rPr>
                <w:rFonts w:ascii="Arial" w:cs="Arial" w:eastAsia="Arial" w:hAnsi="Arial"/>
                <w:b/>
                <w:bCs/>
                <w:sz w:val="20"/>
                <w:szCs w:val="20"/>
              </w:rPr>
              <w:t xml:space="preserve">5</w:t>
            </w:r>
          </w:p>
        </w:tc>
      </w:tr>
    </w:tbl>
    <w:p>
      <w:pPr>
        <w:spacing w:after="200"/>
      </w:pPr>
    </w:p>
    <w:p>
      <w:pPr>
        <w:spacing w:after="120"/>
      </w:pPr>
      <w:r>
        <w:rPr>
          <w:rFonts w:ascii="Arial" w:cs="Arial" w:eastAsia="Arial" w:hAnsi="Arial"/>
          <w:b/>
          <w:bCs/>
          <w:i/>
          <w:iCs/>
          <w:sz w:val="20"/>
          <w:szCs w:val="20"/>
        </w:rPr>
        <w:t xml:space="preserve">Note. </w:t>
      </w:r>
      <w:r>
        <w:rPr>
          <w:rFonts w:ascii="Arial" w:cs="Arial" w:eastAsia="Arial" w:hAnsi="Arial"/>
          <w:i/>
          <w:iCs/>
          <w:sz w:val="20"/>
          <w:szCs w:val="20"/>
        </w:rPr>
        <w:t xml:space="preserve">The five-criterion framework checklist, including scoring rubric and worked examples, is provided in Supplementary File 4. The 50 included studies with their individual checklist scores are reported in Supplementary File 1 (Master Charting Matrix).</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sz w:val="18"/>
        <w:szCs w:val="18"/>
      </w:rPr>
      <w:t xml:space="preserve">Page </w:t>
    </w:r>
    <w:r>
      <w:rPr>
        <w:rFonts w:ascii="Arial" w:cs="Arial" w:eastAsia="Arial" w:hAnsi="Arial"/>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i/>
        <w:iCs/>
        <w:sz w:val="18"/>
        <w:szCs w:val="18"/>
      </w:rPr>
      <w:t xml:space="preserve">Supplementary File 3: Screening Decisions and Exclusion Reasons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40"/>
      <w:outlineLvl w:val="0"/>
    </w:pPr>
    <w:rPr>
      <w:rFonts w:ascii="Arial" w:cs="Arial" w:eastAsia="Arial" w:hAnsi="Arial"/>
      <w:b/>
      <w:bCs/>
      <w:sz w:val="28"/>
      <w:szCs w:val="28"/>
    </w:rPr>
  </w:style>
  <w:style w:type="paragraph" w:styleId="Heading2">
    <w:name w:val="Heading 2"/>
    <w:basedOn w:val="Normal"/>
    <w:next w:val="Normal"/>
    <w:qFormat/>
    <w:pPr>
      <w:spacing w:after="100" w:before="200"/>
      <w:outlineLvl w:val="1"/>
    </w:pPr>
    <w:rPr>
      <w:rFonts w:ascii="Arial" w:cs="Arial" w:eastAsia="Arial" w:hAnsi="Arial"/>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2026-05-25T02:45:17.854Z</dcterms:created>
  <dcterms:modified xsi:type="dcterms:W3CDTF">2026-05-25T02:45:17.854Z</dcterms:modified>
</cp:coreProperties>
</file>

<file path=docProps/custom.xml><?xml version="1.0" encoding="utf-8"?>
<Properties xmlns="http://schemas.openxmlformats.org/officeDocument/2006/custom-properties" xmlns:vt="http://schemas.openxmlformats.org/officeDocument/2006/docPropsVTypes"/>
</file>