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rFonts w:ascii="Times New Roman" w:cs="Times New Roman" w:eastAsia="Times New Roman" w:hAnsi="Times New Roman"/>
          <w:b/>
          <w:bCs/>
          <w:sz w:val="24"/>
          <w:szCs w:val="24"/>
        </w:rPr>
        <w:t xml:space="preserve">Supplementary File 2. Database and Grey Literature Search Strategies</w:t>
      </w:r>
    </w:p>
    <w:p>
      <w:pPr>
        <w:pStyle w:val="Heading2"/>
      </w:pPr>
      <w:r>
        <w:rPr>
          <w:rFonts w:ascii="Times New Roman" w:cs="Times New Roman" w:eastAsia="Times New Roman" w:hAnsi="Times New Roman"/>
          <w:b/>
          <w:bCs/>
          <w:sz w:val="24"/>
          <w:szCs w:val="24"/>
        </w:rPr>
        <w:t xml:space="preserve">Search strategy overview</w:t>
      </w:r>
    </w:p>
    <w:p>
      <w:pPr>
        <w:spacing w:after="200" w:line="360"/>
      </w:pPr>
      <w:r>
        <w:rPr>
          <w:rFonts w:ascii="Times New Roman" w:cs="Times New Roman" w:eastAsia="Times New Roman" w:hAnsi="Times New Roman"/>
          <w:sz w:val="24"/>
          <w:szCs w:val="24"/>
        </w:rPr>
        <w:t xml:space="preserve">An academic librarian with training from the Evidence Synthesis Institute Canada (CARL–ABRC) designed and executed the database search strategies. The search strategy was developed following PRESS (Peer Review of Electronic Search Strategies) guidance (McGowan et al., 2016) and is reported in accordance with PRISMA-S (Rethlefsen et al., 2021). Search strings combined five conceptual blocks: (1) artificial intelligence terminology, (2) literacy and competency terminology, (3) K–12 educational settings, (4) framework and curriculum terminology, and (5) human–AI interaction and pedagogy. Each block was connected with Boolean AND operators, and terms within each block were connected with OR operators. Truncation (*) was used where appropriate to capture variant word endings.</w:t>
      </w:r>
    </w:p>
    <w:p>
      <w:pPr>
        <w:spacing w:after="200" w:line="360"/>
      </w:pPr>
      <w:r>
        <w:rPr>
          <w:rFonts w:ascii="Times New Roman" w:cs="Times New Roman" w:eastAsia="Times New Roman" w:hAnsi="Times New Roman"/>
          <w:sz w:val="24"/>
          <w:szCs w:val="24"/>
        </w:rPr>
        <w:t xml:space="preserve">Representative terms from each conceptual block included: </w:t>
      </w:r>
      <w:r>
        <w:rPr>
          <w:rFonts w:ascii="Times New Roman" w:cs="Times New Roman" w:eastAsia="Times New Roman" w:hAnsi="Times New Roman"/>
          <w:i/>
          <w:iCs/>
          <w:sz w:val="24"/>
          <w:szCs w:val="24"/>
        </w:rPr>
        <w:t xml:space="preserve">artificial intelligence, generative AI, machine learning, large language model*, algorithmic bias, responsible AI</w:t>
      </w:r>
      <w:r>
        <w:rPr>
          <w:rFonts w:ascii="Times New Roman" w:cs="Times New Roman" w:eastAsia="Times New Roman" w:hAnsi="Times New Roman"/>
          <w:sz w:val="24"/>
          <w:szCs w:val="24"/>
        </w:rPr>
        <w:t xml:space="preserve"> (Block 1); </w:t>
      </w:r>
      <w:r>
        <w:rPr>
          <w:rFonts w:ascii="Times New Roman" w:cs="Times New Roman" w:eastAsia="Times New Roman" w:hAnsi="Times New Roman"/>
          <w:i/>
          <w:iCs/>
          <w:sz w:val="24"/>
          <w:szCs w:val="24"/>
        </w:rPr>
        <w:t xml:space="preserve">AI literac*, computational literac*, digital literac*, critical thinking, data literac*</w:t>
      </w:r>
      <w:r>
        <w:rPr>
          <w:rFonts w:ascii="Times New Roman" w:cs="Times New Roman" w:eastAsia="Times New Roman" w:hAnsi="Times New Roman"/>
          <w:sz w:val="24"/>
          <w:szCs w:val="24"/>
        </w:rPr>
        <w:t xml:space="preserve"> (Block 2); </w:t>
      </w:r>
      <w:r>
        <w:rPr>
          <w:rFonts w:ascii="Times New Roman" w:cs="Times New Roman" w:eastAsia="Times New Roman" w:hAnsi="Times New Roman"/>
          <w:i/>
          <w:iCs/>
          <w:sz w:val="24"/>
          <w:szCs w:val="24"/>
        </w:rPr>
        <w:t xml:space="preserve">K–12, elementary school*, middle school*, secondary education, primary education</w:t>
      </w:r>
      <w:r>
        <w:rPr>
          <w:rFonts w:ascii="Times New Roman" w:cs="Times New Roman" w:eastAsia="Times New Roman" w:hAnsi="Times New Roman"/>
          <w:sz w:val="24"/>
          <w:szCs w:val="24"/>
        </w:rPr>
        <w:t xml:space="preserve"> (Block 3); </w:t>
      </w:r>
      <w:r>
        <w:rPr>
          <w:rFonts w:ascii="Times New Roman" w:cs="Times New Roman" w:eastAsia="Times New Roman" w:hAnsi="Times New Roman"/>
          <w:i/>
          <w:iCs/>
          <w:sz w:val="24"/>
          <w:szCs w:val="24"/>
        </w:rPr>
        <w:t xml:space="preserve">framework*, curricul*, competency framework*, taxonomy*, rubric*</w:t>
      </w:r>
      <w:r>
        <w:rPr>
          <w:rFonts w:ascii="Times New Roman" w:cs="Times New Roman" w:eastAsia="Times New Roman" w:hAnsi="Times New Roman"/>
          <w:sz w:val="24"/>
          <w:szCs w:val="24"/>
        </w:rPr>
        <w:t xml:space="preserve"> (Block 4); and </w:t>
      </w:r>
      <w:r>
        <w:rPr>
          <w:rFonts w:ascii="Times New Roman" w:cs="Times New Roman" w:eastAsia="Times New Roman" w:hAnsi="Times New Roman"/>
          <w:i/>
          <w:iCs/>
          <w:sz w:val="24"/>
          <w:szCs w:val="24"/>
        </w:rPr>
        <w:t xml:space="preserve">human centered AI, AI assisted learning, human AI collaboration</w:t>
      </w:r>
      <w:r>
        <w:rPr>
          <w:rFonts w:ascii="Times New Roman" w:cs="Times New Roman" w:eastAsia="Times New Roman" w:hAnsi="Times New Roman"/>
          <w:sz w:val="24"/>
          <w:szCs w:val="24"/>
        </w:rPr>
        <w:t xml:space="preserve"> (Block 5). Table S2.1 summarises the databases, platforms, search dates, limits applied, and number of records retrieved. Full platform-specific search strings are provided in Table S2.2.</w:t>
      </w:r>
    </w:p>
    <w:p>
      <w:pPr>
        <w:pStyle w:val="Heading2"/>
      </w:pPr>
      <w:r>
        <w:rPr>
          <w:rFonts w:ascii="Times New Roman" w:cs="Times New Roman" w:eastAsia="Times New Roman" w:hAnsi="Times New Roman"/>
          <w:b/>
          <w:bCs/>
          <w:sz w:val="24"/>
          <w:szCs w:val="24"/>
        </w:rPr>
        <w:t xml:space="preserve">Search eligibility window</w:t>
      </w:r>
    </w:p>
    <w:p>
      <w:pPr>
        <w:spacing w:after="200" w:line="360"/>
      </w:pPr>
      <w:r>
        <w:rPr>
          <w:rFonts w:ascii="Times New Roman" w:cs="Times New Roman" w:eastAsia="Times New Roman" w:hAnsi="Times New Roman"/>
          <w:sz w:val="24"/>
          <w:szCs w:val="24"/>
        </w:rPr>
        <w:t xml:space="preserve">The review included English-language sources published between 1 January 2024 and 31 December 2025. Searches were conducted on 15 January 2026. The search was designed to identify recent framework-level work on K–12 AI literacy, including peer-reviewed studies, systematic reviews, conceptual frameworks, curriculum frameworks, assessment tools, and selected grey literature documents.</w:t>
      </w:r>
    </w:p>
    <w:p>
      <w:pPr>
        <w:pStyle w:val="Heading2"/>
      </w:pPr>
      <w:r>
        <w:rPr>
          <w:rFonts w:ascii="Times New Roman" w:cs="Times New Roman" w:eastAsia="Times New Roman" w:hAnsi="Times New Roman"/>
          <w:b/>
          <w:bCs/>
          <w:sz w:val="24"/>
          <w:szCs w:val="24"/>
        </w:rPr>
        <w:t xml:space="preserve">Database search strategy</w:t>
      </w:r>
    </w:p>
    <w:p>
      <w:pPr>
        <w:spacing w:after="200" w:line="360"/>
      </w:pPr>
      <w:r>
        <w:rPr>
          <w:rFonts w:ascii="Times New Roman" w:cs="Times New Roman" w:eastAsia="Times New Roman" w:hAnsi="Times New Roman"/>
          <w:sz w:val="24"/>
          <w:szCs w:val="24"/>
        </w:rPr>
        <w:t xml:space="preserve">Four electronic databases were searched across three platforms. Table S2.1 summarises the databases, platforms, search dates, limits applied, and number of records retrieved. Search strategies were adapted to each platform’s interface while preserving the same five conceptual blocks. Full search strings are reproduced in Table S2.2.</w:t>
      </w:r>
    </w:p>
    <w:p>
      <w:pPr>
        <w:spacing w:after="200" w:line="360"/>
      </w:pPr>
      <w:r>
        <w:rPr>
          <w:rFonts w:ascii="Times New Roman" w:cs="Times New Roman" w:eastAsia="Times New Roman" w:hAnsi="Times New Roman"/>
          <w:b/>
          <w:bCs/>
          <w:i/>
          <w:iCs/>
          <w:sz w:val="24"/>
          <w:szCs w:val="24"/>
        </w:rPr>
        <w:t xml:space="preserve">Table S2.1. </w:t>
      </w:r>
      <w:r>
        <w:rPr>
          <w:rFonts w:ascii="Times New Roman" w:cs="Times New Roman" w:eastAsia="Times New Roman" w:hAnsi="Times New Roman"/>
          <w:i/>
          <w:iCs/>
          <w:sz w:val="24"/>
          <w:szCs w:val="24"/>
        </w:rPr>
        <w:t xml:space="preserve">Database searches.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1200"/>
        <w:gridCol w:w="3160"/>
        <w:gridCol w:w="1200"/>
      </w:tblGrid>
      <w:tr>
        <w:tc>
          <w:tcPr>
            <w:tcW w:type="dxa" w:w="22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tcPr>
          <w:p>
            <w:r>
              <w:rPr>
                <w:rFonts w:ascii="Times New Roman" w:cs="Times New Roman" w:eastAsia="Times New Roman" w:hAnsi="Times New Roman"/>
                <w:b/>
                <w:bCs/>
                <w:sz w:val="20"/>
                <w:szCs w:val="20"/>
              </w:rPr>
              <w:t xml:space="preserve">Database</w:t>
            </w:r>
          </w:p>
        </w:tc>
        <w:tc>
          <w:tcPr>
            <w:tcW w:type="dxa" w:w="16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tcPr>
          <w:p>
            <w:r>
              <w:rPr>
                <w:rFonts w:ascii="Times New Roman" w:cs="Times New Roman" w:eastAsia="Times New Roman" w:hAnsi="Times New Roman"/>
                <w:b/>
                <w:bCs/>
                <w:sz w:val="20"/>
                <w:szCs w:val="20"/>
              </w:rPr>
              <w:t xml:space="preserve">Platform</w:t>
            </w:r>
          </w:p>
        </w:tc>
        <w:tc>
          <w:tcPr>
            <w:tcW w:type="dxa" w:w="12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tcPr>
          <w:p>
            <w:r>
              <w:rPr>
                <w:rFonts w:ascii="Times New Roman" w:cs="Times New Roman" w:eastAsia="Times New Roman" w:hAnsi="Times New Roman"/>
                <w:b/>
                <w:bCs/>
                <w:sz w:val="20"/>
                <w:szCs w:val="20"/>
              </w:rPr>
              <w:t xml:space="preserve">Date searched</w:t>
            </w:r>
          </w:p>
        </w:tc>
        <w:tc>
          <w:tcPr>
            <w:tcW w:type="dxa" w:w="316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tcPr>
          <w:p>
            <w:r>
              <w:rPr>
                <w:rFonts w:ascii="Times New Roman" w:cs="Times New Roman" w:eastAsia="Times New Roman" w:hAnsi="Times New Roman"/>
                <w:b/>
                <w:bCs/>
                <w:sz w:val="20"/>
                <w:szCs w:val="20"/>
              </w:rPr>
              <w:t xml:space="preserve">Limits/filters</w:t>
            </w:r>
          </w:p>
        </w:tc>
        <w:tc>
          <w:tcPr>
            <w:tcW w:type="dxa" w:w="1200"/>
            <w:tcBorders>
              <w:top w:val="single" w:color="999999" w:sz="1"/>
              <w:left w:val="single" w:color="999999" w:sz="1"/>
              <w:bottom w:val="single" w:color="999999" w:sz="1"/>
              <w:right w:val="single" w:color="999999" w:sz="1"/>
            </w:tcBorders>
            <w:shd w:fill="F2F2F2" w:val="clear"/>
            <w:tcMar>
              <w:top w:type="dxa" w:w="60"/>
              <w:left w:type="dxa" w:w="100"/>
              <w:bottom w:type="dxa" w:w="60"/>
              <w:right w:type="dxa" w:w="100"/>
            </w:tcMar>
          </w:tcPr>
          <w:p>
            <w:r>
              <w:rPr>
                <w:rFonts w:ascii="Times New Roman" w:cs="Times New Roman" w:eastAsia="Times New Roman" w:hAnsi="Times New Roman"/>
                <w:b/>
                <w:bCs/>
                <w:sz w:val="20"/>
                <w:szCs w:val="20"/>
              </w:rPr>
              <w:t xml:space="preserve">Records</w:t>
            </w:r>
          </w:p>
        </w:tc>
      </w:tr>
      <w:tr>
        <w:tc>
          <w:tcPr>
            <w:tcW w:type="dxa" w:w="22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Academic Search Premier</w:t>
            </w:r>
          </w:p>
        </w:tc>
        <w:tc>
          <w:tcPr>
            <w:tcW w:type="dxa" w:w="16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EBSCOhost</w:t>
            </w:r>
          </w:p>
        </w:tc>
        <w:tc>
          <w:tcPr>
            <w:tcW w:type="dxa" w:w="12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15 Jan 2026</w:t>
            </w:r>
          </w:p>
        </w:tc>
        <w:tc>
          <w:tcPr>
            <w:tcW w:type="dxa" w:w="31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English; peer-reviewed; publication date 1 January 2024 to 31 December 2025</w:t>
            </w:r>
          </w:p>
        </w:tc>
        <w:tc>
          <w:tcPr>
            <w:tcW w:type="dxa" w:w="12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55</w:t>
            </w:r>
          </w:p>
        </w:tc>
      </w:tr>
      <w:tr>
        <w:tc>
          <w:tcPr>
            <w:tcW w:type="dxa" w:w="22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Education Research Complete</w:t>
            </w:r>
          </w:p>
        </w:tc>
        <w:tc>
          <w:tcPr>
            <w:tcW w:type="dxa" w:w="16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EBSCOhost</w:t>
            </w:r>
          </w:p>
        </w:tc>
        <w:tc>
          <w:tcPr>
            <w:tcW w:type="dxa" w:w="12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15 Jan 2026</w:t>
            </w:r>
          </w:p>
        </w:tc>
        <w:tc>
          <w:tcPr>
            <w:tcW w:type="dxa" w:w="31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English; peer-reviewed; publication date 1 January 2024 to 31 December 2025</w:t>
            </w:r>
          </w:p>
        </w:tc>
        <w:tc>
          <w:tcPr>
            <w:tcW w:type="dxa" w:w="12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70</w:t>
            </w:r>
          </w:p>
        </w:tc>
      </w:tr>
      <w:tr>
        <w:tc>
          <w:tcPr>
            <w:tcW w:type="dxa" w:w="22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Education Research Index</w:t>
            </w:r>
          </w:p>
        </w:tc>
        <w:tc>
          <w:tcPr>
            <w:tcW w:type="dxa" w:w="16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ProQuest</w:t>
            </w:r>
          </w:p>
        </w:tc>
        <w:tc>
          <w:tcPr>
            <w:tcW w:type="dxa" w:w="12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15 Jan 2026</w:t>
            </w:r>
          </w:p>
        </w:tc>
        <w:tc>
          <w:tcPr>
            <w:tcW w:type="dxa" w:w="31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English; peer-reviewed; publication date 1 January 2024 to 31 December 2025</w:t>
            </w:r>
          </w:p>
        </w:tc>
        <w:tc>
          <w:tcPr>
            <w:tcW w:type="dxa" w:w="12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105</w:t>
            </w:r>
          </w:p>
        </w:tc>
      </w:tr>
      <w:tr>
        <w:tc>
          <w:tcPr>
            <w:tcW w:type="dxa" w:w="22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Web of Science Core Collection</w:t>
            </w:r>
          </w:p>
        </w:tc>
        <w:tc>
          <w:tcPr>
            <w:tcW w:type="dxa" w:w="16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Clarivate</w:t>
            </w:r>
          </w:p>
        </w:tc>
        <w:tc>
          <w:tcPr>
            <w:tcW w:type="dxa" w:w="12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15 Jan 2026</w:t>
            </w:r>
          </w:p>
        </w:tc>
        <w:tc>
          <w:tcPr>
            <w:tcW w:type="dxa" w:w="31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English; publication date 1 January 2024 to 31 December 2025</w:t>
            </w:r>
          </w:p>
        </w:tc>
        <w:tc>
          <w:tcPr>
            <w:tcW w:type="dxa" w:w="12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90</w:t>
            </w:r>
          </w:p>
        </w:tc>
      </w:tr>
      <w:tr>
        <w:tc>
          <w:tcPr>
            <w:tcW w:type="dxa" w:w="220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Times New Roman" w:cs="Times New Roman" w:eastAsia="Times New Roman" w:hAnsi="Times New Roman"/>
                <w:b/>
                <w:bCs/>
                <w:sz w:val="20"/>
                <w:szCs w:val="20"/>
              </w:rPr>
              <w:t xml:space="preserve">Total</w:t>
            </w:r>
          </w:p>
        </w:tc>
        <w:tc>
          <w:tcPr>
            <w:tcW w:type="dxa" w:w="16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
            </w:r>
          </w:p>
        </w:tc>
        <w:tc>
          <w:tcPr>
            <w:tcW w:type="dxa" w:w="12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
            </w:r>
          </w:p>
        </w:tc>
        <w:tc>
          <w:tcPr>
            <w:tcW w:type="dxa" w:w="31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line="276"/>
            </w:pPr>
            <w:r>
              <w:rPr>
                <w:rFonts w:ascii="Times New Roman" w:cs="Times New Roman" w:eastAsia="Times New Roman" w:hAnsi="Times New Roman"/>
                <w:sz w:val="20"/>
                <w:szCs w:val="20"/>
              </w:rPr>
              <w:t xml:space="preserve"/>
            </w:r>
          </w:p>
        </w:tc>
        <w:tc>
          <w:tcPr>
            <w:tcW w:type="dxa" w:w="1200"/>
            <w:tcBorders>
              <w:top w:val="single" w:color="999999" w:sz="1"/>
              <w:left w:val="single" w:color="999999" w:sz="1"/>
              <w:bottom w:val="single" w:color="999999" w:sz="1"/>
              <w:right w:val="single" w:color="999999" w:sz="1"/>
            </w:tcBorders>
            <w:tcMar>
              <w:top w:type="dxa" w:w="60"/>
              <w:left w:type="dxa" w:w="100"/>
              <w:bottom w:type="dxa" w:w="60"/>
              <w:right w:type="dxa" w:w="100"/>
            </w:tcMar>
          </w:tcPr>
          <w:p>
            <w:r>
              <w:rPr>
                <w:rFonts w:ascii="Times New Roman" w:cs="Times New Roman" w:eastAsia="Times New Roman" w:hAnsi="Times New Roman"/>
                <w:b/>
                <w:bCs/>
                <w:sz w:val="20"/>
                <w:szCs w:val="20"/>
              </w:rPr>
              <w:t xml:space="preserve">320</w:t>
            </w:r>
          </w:p>
        </w:tc>
      </w:tr>
    </w:tbl>
    <w:p>
      <w:pPr>
        <w:spacing w:after="120"/>
      </w:pPr>
    </w:p>
    <w:p>
      <w:pPr>
        <w:spacing w:after="200" w:line="360"/>
      </w:pPr>
      <w:r>
        <w:rPr>
          <w:rFonts w:ascii="Times New Roman" w:cs="Times New Roman" w:eastAsia="Times New Roman" w:hAnsi="Times New Roman"/>
          <w:i/>
          <w:iCs/>
          <w:sz w:val="24"/>
          <w:szCs w:val="24"/>
        </w:rPr>
        <w:t xml:space="preserve">Note. </w:t>
      </w:r>
      <w:r>
        <w:rPr>
          <w:rFonts w:ascii="Times New Roman" w:cs="Times New Roman" w:eastAsia="Times New Roman" w:hAnsi="Times New Roman"/>
          <w:sz w:val="24"/>
          <w:szCs w:val="24"/>
        </w:rPr>
        <w:t xml:space="preserve">For EBSCOhost databases, search terms were entered using the keyword (XB) and subject heading (DE) fields. For ProQuest, equivalent terms were entered via the advanced search interface. For Web of Science, the Topic (TS=) field was used.</w:t>
      </w:r>
    </w:p>
    <w:p>
      <w:pPr>
        <w:pStyle w:val="Heading2"/>
      </w:pPr>
      <w:r>
        <w:rPr>
          <w:rFonts w:ascii="Times New Roman" w:cs="Times New Roman" w:eastAsia="Times New Roman" w:hAnsi="Times New Roman"/>
          <w:b/>
          <w:bCs/>
          <w:sz w:val="24"/>
          <w:szCs w:val="24"/>
        </w:rPr>
        <w:t xml:space="preserve">Database search total</w:t>
      </w:r>
    </w:p>
    <w:p>
      <w:pPr>
        <w:spacing w:after="200" w:line="360"/>
      </w:pPr>
      <w:r>
        <w:rPr>
          <w:rFonts w:ascii="Times New Roman" w:cs="Times New Roman" w:eastAsia="Times New Roman" w:hAnsi="Times New Roman"/>
          <w:sz w:val="24"/>
          <w:szCs w:val="24"/>
        </w:rPr>
        <w:t xml:space="preserve">The four database searches identified 320 records before deduplication: Academic Search Premier, n = 55; Education Research Complete, n = 70; Education Research Index, n = 105; Web of Science Core Collection, n = 90.</w:t>
      </w:r>
    </w:p>
    <w:p>
      <w:pPr>
        <w:pStyle w:val="Heading2"/>
      </w:pPr>
      <w:r>
        <w:rPr>
          <w:rFonts w:ascii="Times New Roman" w:cs="Times New Roman" w:eastAsia="Times New Roman" w:hAnsi="Times New Roman"/>
          <w:b/>
          <w:bCs/>
          <w:sz w:val="24"/>
          <w:szCs w:val="24"/>
        </w:rPr>
        <w:t xml:space="preserve">Full database search strings</w:t>
      </w:r>
    </w:p>
    <w:p>
      <w:pPr>
        <w:spacing w:after="200" w:line="360"/>
      </w:pPr>
      <w:r>
        <w:rPr>
          <w:rFonts w:ascii="Times New Roman" w:cs="Times New Roman" w:eastAsia="Times New Roman" w:hAnsi="Times New Roman"/>
          <w:sz w:val="24"/>
          <w:szCs w:val="24"/>
        </w:rPr>
        <w:t xml:space="preserve">Table S2.2 reproduces the complete search strings as executed on 15 January 2026. Each conceptual block is enclosed in parentheses and connected with AND operators. For EBSCOhost databases, XB denotes the keyword field and DE denotes the subject heading (descriptor) field. For ProQuest, terms were entered via the advanced search interface without platform-specific field tags. For Web of Science, TS= denotes the Topic field.</w:t>
      </w:r>
    </w:p>
    <w:p>
      <w:pPr>
        <w:spacing w:after="200" w:line="360"/>
      </w:pPr>
      <w:r>
        <w:rPr>
          <w:rFonts w:ascii="Times New Roman" w:cs="Times New Roman" w:eastAsia="Times New Roman" w:hAnsi="Times New Roman"/>
          <w:b/>
          <w:bCs/>
          <w:i/>
          <w:iCs/>
          <w:sz w:val="24"/>
          <w:szCs w:val="24"/>
        </w:rPr>
        <w:t xml:space="preserve">Table S2.2. </w:t>
      </w:r>
      <w:r>
        <w:rPr>
          <w:rFonts w:ascii="Times New Roman" w:cs="Times New Roman" w:eastAsia="Times New Roman" w:hAnsi="Times New Roman"/>
          <w:i/>
          <w:iCs/>
          <w:sz w:val="24"/>
          <w:szCs w:val="24"/>
        </w:rPr>
        <w:t xml:space="preserve">Full database search strings.</w:t>
      </w:r>
    </w:p>
    <w:p>
      <w:pPr>
        <w:spacing w:after="120" w:before="240"/>
      </w:pPr>
      <w:r>
        <w:rPr>
          <w:rFonts w:ascii="Times New Roman" w:cs="Times New Roman" w:eastAsia="Times New Roman" w:hAnsi="Times New Roman"/>
          <w:b/>
          <w:bCs/>
          <w:sz w:val="24"/>
          <w:szCs w:val="24"/>
        </w:rPr>
        <w:t xml:space="preserve">Academic Search Premier and Education Research Complete (EBSCOhost)</w:t>
      </w:r>
    </w:p>
    <w:p>
      <w:pPr>
        <w:spacing w:after="80" w:line="240"/>
      </w:pPr>
      <w:r>
        <w:rPr>
          <w:rFonts w:ascii="Courier New" w:cs="Courier New" w:eastAsia="Courier New" w:hAnsi="Courier New"/>
          <w:sz w:val="16"/>
          <w:szCs w:val="16"/>
        </w:rPr>
        <w:t xml:space="preserve">( XB ("adaptive learning system" OR "AI assisted learning" OR "AI based application" OR "AI ethics" OR "AI powered tool" OR "AI safety" OR "AI supported learning" OR "AI-driven" OR "AI-enhanced" OR "AI-human interaction" OR "algorithmic bias" OR "algorithmic system*" OR "algorithmic transparency" OR "artificial intelligence" OR AI OR "Artificial intelligence software" OR "automated decision making" OR "automated system*" OR "Bard" OR "ChatGPT" OR "Claude" OR "computer vision" OR "Copilot" OR "DALL-E" OR "data ethics" OR "deep learning" OR "ethical AI" OR "expert system*" OR "explainable AI" OR XAI OR "fairness" OR "foundation model*" OR "Gemini" OR "generative AI" OR "human AI collaboration" OR "human centered AI" OR "human centred AI" OR "human computer interaction" OR "Intelligent agents" OR "intelligent tutoring system*" OR "large language model*" OR LLM* OR "machine intelligence" OR "machine learning" OR ML OR "Midjourney" OR "natural language processing" OR NLP OR "neural network*" OR "NotebookLM" OR "Perplexity AI" OR "predictive model*" OR "responsible AI") OR DE ("Artificial intelligence" OR "Artificial intelligence &amp; ethics" OR "Artificial intelligence software" OR "Artificial neural networks" OR "Computer vision" OR "Deep learning" OR "Expert systems" OR "Fairness" OR "Generative artificial intelligence" OR "Human-artificial intelligence interaction" OR "Human-computer interaction" OR "Instructional systems" OR "Intelligent agents" OR "Intelligent tutoring systems" OR "Language models" OR "Machine learning" OR "Natural language processing" OR "Recommender systems") )</w:t>
      </w:r>
    </w:p>
    <w:p>
      <w:pPr>
        <w:spacing w:after="80" w:line="240"/>
      </w:pPr>
      <w:r>
        <w:rPr>
          <w:rFonts w:ascii="Courier New" w:cs="Courier New" w:eastAsia="Courier New" w:hAnsi="Courier New"/>
          <w:b/>
          <w:bCs/>
          <w:sz w:val="16"/>
          <w:szCs w:val="16"/>
        </w:rPr>
        <w:t xml:space="preserve">AND</w:t>
      </w:r>
    </w:p>
    <w:p>
      <w:pPr>
        <w:spacing w:after="80" w:line="240"/>
      </w:pPr>
      <w:r>
        <w:rPr>
          <w:rFonts w:ascii="Courier New" w:cs="Courier New" w:eastAsia="Courier New" w:hAnsi="Courier New"/>
          <w:sz w:val="16"/>
          <w:szCs w:val="16"/>
        </w:rPr>
        <w:t xml:space="preserve">( XB ("academic literac*" OR "AI literac*" OR "algorithmic literac*" OR "civic AI literac*" OR "competenc*" OR "computational literac*" OR "critical algorithmic literac*" OR "critical digital literac*" OR "critical information literac*" OR "critical media literac*" OR "critical thinking" OR "data fluency" OR "data literac*" OR "digital citizenship" OR "digital competenc*" OR "digital fluency" OR "digital literac*" OR "digital practice*" OR "ethical AI literac*" OR "information literac*" OR "information skill*" OR "knowledge practice*" OR "learning practice*" OR "literacy" OR "media literac*" OR "proficienc*" OR "research skill*" OR "student skill*" OR "technological fluency" OR "technology literac*") OR DE ("Ability" OR "Computer literacy" OR "Critical literacy" OR "Critical thinking" OR "Digital literacy" OR "Information literacy" OR "Information literacy digital resources" OR "Information skills" OR "Literacy" OR "Media literacy" OR "Research skills" OR "Technological literacy") )</w:t>
      </w:r>
    </w:p>
    <w:p>
      <w:pPr>
        <w:spacing w:after="80" w:line="240"/>
      </w:pPr>
      <w:r>
        <w:rPr>
          <w:rFonts w:ascii="Courier New" w:cs="Courier New" w:eastAsia="Courier New" w:hAnsi="Courier New"/>
          <w:b/>
          <w:bCs/>
          <w:sz w:val="16"/>
          <w:szCs w:val="16"/>
        </w:rPr>
        <w:t xml:space="preserve">AND</w:t>
      </w:r>
    </w:p>
    <w:p>
      <w:pPr>
        <w:spacing w:after="80" w:line="240"/>
      </w:pPr>
      <w:r>
        <w:rPr>
          <w:rFonts w:ascii="Courier New" w:cs="Courier New" w:eastAsia="Courier New" w:hAnsi="Courier New"/>
          <w:sz w:val="16"/>
          <w:szCs w:val="16"/>
        </w:rPr>
        <w:t xml:space="preserve">( XB ("basic education" OR "classroom-based" OR "compulsory education" OR "compulsory schooling" OR "elementary education" OR "elementary school*" OR "high school*" OR "intermediate grades" OR "junior high*" OR "K-12" OR "K12" OR "middle school*" OR "pre-university education" OR "primary education" OR "primary school*" OR "school education" OR "school-based" OR "secondary education" OR "secondary school*") OR DE ("Basic education" OR "Classrooms" OR "Compulsory education" OR "Education" OR "Elementary education" OR "Elementary schools" OR "High schools" OR "Junior high schools" OR "Middle schools" OR "Primary education" OR "Primary schools" OR "Secondary education" OR "Secondary schools") )</w:t>
      </w:r>
    </w:p>
    <w:p>
      <w:pPr>
        <w:spacing w:after="80" w:line="240"/>
      </w:pPr>
      <w:r>
        <w:rPr>
          <w:rFonts w:ascii="Courier New" w:cs="Courier New" w:eastAsia="Courier New" w:hAnsi="Courier New"/>
          <w:b/>
          <w:bCs/>
          <w:sz w:val="16"/>
          <w:szCs w:val="16"/>
        </w:rPr>
        <w:t xml:space="preserve">AND</w:t>
      </w:r>
    </w:p>
    <w:p>
      <w:pPr>
        <w:spacing w:after="80" w:line="240"/>
      </w:pPr>
      <w:r>
        <w:rPr>
          <w:rFonts w:ascii="Courier New" w:cs="Courier New" w:eastAsia="Courier New" w:hAnsi="Courier New"/>
          <w:sz w:val="16"/>
          <w:szCs w:val="16"/>
        </w:rPr>
        <w:t xml:space="preserve">( XB ("AI enabled pedagogy" OR "AI supported pedagogy" OR "classroom practice*" OR "classroom teaching" OR "curriculum integration" OR "curriculum plan*" OR "educational technology" OR "elementary school teaching" OR "high school teaching" OR "information technology" OR "instructional design" OR "instructional practice*" OR "instructional technology" OR "junior high school teaching" OR "learning environment*" OR "lesson plan*" OR "middle school teaching" OR "pedagogy" OR "school pedagogy" OR "school teaching" OR "teaching" OR "teaching practice*" OR "technology enhanced learning") OR DE ("Classroom environment" OR "Education" OR "Elementary school teaching" OR "High school teaching" OR "Information technology education in secondary schools" OR "Instructional systems design" OR "Junior high school teaching" OR "Lesson planning" OR "Middle school teaching" OR "Teaching") )</w:t>
      </w:r>
    </w:p>
    <w:p>
      <w:pPr>
        <w:spacing w:after="80" w:line="240"/>
      </w:pPr>
      <w:r>
        <w:rPr>
          <w:rFonts w:ascii="Courier New" w:cs="Courier New" w:eastAsia="Courier New" w:hAnsi="Courier New"/>
          <w:b/>
          <w:bCs/>
          <w:sz w:val="16"/>
          <w:szCs w:val="16"/>
        </w:rPr>
        <w:t xml:space="preserve">AND</w:t>
      </w:r>
    </w:p>
    <w:p>
      <w:pPr>
        <w:spacing w:after="80" w:line="240"/>
      </w:pPr>
      <w:r>
        <w:rPr>
          <w:rFonts w:ascii="Courier New" w:cs="Courier New" w:eastAsia="Courier New" w:hAnsi="Courier New"/>
          <w:sz w:val="16"/>
          <w:szCs w:val="16"/>
        </w:rPr>
        <w:t xml:space="preserve">( XB ("AI framework*" OR "analytical framework*" OR "approach*" OR "best practice*" OR "competency framework*" OR "conceptual framework*" OR "curricul*" OR "curricular framework*" OR "curriculum evaluation" OR "curriculum integration" OR "design framework*" OR "educational evaluation" OR "evaluation" OR "evaluation framework*" OR "framework*" OR "guideline*" OR "instructional framework*" OR "instructional model*" OR "learning framework*" OR "model*" OR "organizational framework*" OR "paradigm*" OR "pedagogical model*" OR "rubric*" OR "schema*" OR "skills framework*" OR "standard*" OR "structure*" OR "taxonomy*" OR "theoretical framework*" OR "theories" OR "theory" OR "typolog*") OR DE ("Best practices" OR "Curriculum" OR "Curriculum evaluation" OR "Curriculum frameworks" OR "Curriculum theories" OR "Educational evaluation" OR "Evaluation" OR "Evaluation methodology" OR "Example" OR "Guidelines" OR "Learning theories in education" OR "Standards" OR "Taxonomy" OR "Teaching models" OR "Theory") )</w:t>
      </w:r>
    </w:p>
    <w:p>
      <w:r>
        <w:br w:type="page"/>
      </w:r>
    </w:p>
    <w:p>
      <w:pPr>
        <w:spacing w:after="120" w:before="240"/>
      </w:pPr>
      <w:r>
        <w:rPr>
          <w:rFonts w:ascii="Times New Roman" w:cs="Times New Roman" w:eastAsia="Times New Roman" w:hAnsi="Times New Roman"/>
          <w:b/>
          <w:bCs/>
          <w:sz w:val="24"/>
          <w:szCs w:val="24"/>
        </w:rPr>
        <w:t xml:space="preserve">Education Research Index (ProQuest)</w:t>
      </w:r>
    </w:p>
    <w:p>
      <w:pPr>
        <w:spacing w:after="80" w:line="240"/>
      </w:pPr>
      <w:r>
        <w:rPr>
          <w:rFonts w:ascii="Courier New" w:cs="Courier New" w:eastAsia="Courier New" w:hAnsi="Courier New"/>
          <w:sz w:val="16"/>
          <w:szCs w:val="16"/>
        </w:rPr>
        <w:t xml:space="preserve">("AI-driven" OR "AI-enhanced" OR "artificial intelligence" OR AI OR "generative AI" OR "machine intelligence" OR "algorithmic system*" OR "adaptive learning system" OR "automated decision making" OR "automated system*" OR "computer vision" OR "deep learning" OR "expert system*" OR "foundation model*" OR "intelligent tutoring system*" OR "large language model*" OR LLM* OR "machine learning" OR ML OR "natural language processing" OR NLP OR "neural network*" OR "predictive model*" OR "AI based application" OR "AI powered tool" OR Bard OR ChatGPT OR Claude OR Copilot OR "DALL-E" OR Gemini OR Midjourney OR NotebookLM OR "Perplexity AI" OR "AI ethics" OR "AI safety" OR "algorithmic bias" OR "algorithmic transparency" OR "data ethics" OR "ethical AI" OR "explainable AI" OR XAI OR "responsible AI" OR fairness)</w:t>
      </w:r>
    </w:p>
    <w:p>
      <w:pPr>
        <w:spacing w:after="80" w:line="240"/>
      </w:pPr>
      <w:r>
        <w:rPr>
          <w:rFonts w:ascii="Courier New" w:cs="Courier New" w:eastAsia="Courier New" w:hAnsi="Courier New"/>
          <w:b/>
          <w:bCs/>
          <w:sz w:val="16"/>
          <w:szCs w:val="16"/>
        </w:rPr>
        <w:t xml:space="preserve">AND</w:t>
      </w:r>
    </w:p>
    <w:p>
      <w:pPr>
        <w:spacing w:after="80" w:line="240"/>
      </w:pPr>
      <w:r>
        <w:rPr>
          <w:rFonts w:ascii="Courier New" w:cs="Courier New" w:eastAsia="Courier New" w:hAnsi="Courier New"/>
          <w:sz w:val="16"/>
          <w:szCs w:val="16"/>
        </w:rPr>
        <w:t xml:space="preserve">("academic literac*" OR "AI literac*" OR "algorithmic literac*" OR "civic AI literac*" OR "computational literac*" OR "critical algorithmic literac*" OR "critical digital literac*" OR "critical information literac*" OR "critical media literac*" OR "data literac*" OR "digital citizenship" OR "digital literac*" OR "ethical AI literac*" OR "information literac*" OR literacy OR "media literac*" OR "technology literac*" OR "critical thinking" OR "data fluency" OR "digital competence*" OR "digital fluency" OR "information skill*" OR proficienc* OR "research skill*" OR "technological fluency" OR "digital practice*" OR "knowledge practice*" OR "learning practice*" OR "student skill*")</w:t>
      </w:r>
    </w:p>
    <w:p>
      <w:pPr>
        <w:spacing w:after="80" w:line="240"/>
      </w:pPr>
      <w:r>
        <w:rPr>
          <w:rFonts w:ascii="Courier New" w:cs="Courier New" w:eastAsia="Courier New" w:hAnsi="Courier New"/>
          <w:b/>
          <w:bCs/>
          <w:sz w:val="16"/>
          <w:szCs w:val="16"/>
        </w:rPr>
        <w:t xml:space="preserve">AND</w:t>
      </w:r>
    </w:p>
    <w:p>
      <w:pPr>
        <w:spacing w:after="80" w:line="240"/>
      </w:pPr>
      <w:r>
        <w:rPr>
          <w:rFonts w:ascii="Courier New" w:cs="Courier New" w:eastAsia="Courier New" w:hAnsi="Courier New"/>
          <w:sz w:val="16"/>
          <w:szCs w:val="16"/>
        </w:rPr>
        <w:t xml:space="preserve">("basic education" OR "classroom-based" OR "compulsory education" OR "compulsory schooling" OR "elementary education" OR "elementary school*" OR "high school*" OR "junior high*" OR K12 OR "K-12" OR "middle school*" OR "pre-university education" OR "primary education" OR "primary school*" OR "school education" OR "school-based" OR "secondary education" OR "secondary school*" OR "classroom teacher*" OR educator* OR "elementary student*" OR "high school student*" OR "K-12 student*" OR "preservice teacher*" OR "pre-service teacher*" OR principal* OR pupil* OR "school administrator*" OR "school aged child*" OR "school child*" OR "school staff" OR "school teacher*" OR "school-age child*" OR "secondary student*" OR student* OR teacher* OR "AI enabled pedagogy" OR "AI supported pedagogy" OR "classroom practice*" OR "classroom teaching" OR "curriculum integration" OR "curriculum plan*" OR "educational technology" OR "instructional design" OR "instructional practice*" OR "instructional technology" OR "learning environment*" OR "lesson plan*" OR pedagogy OR "school pedagogy" OR "school teaching" OR teaching OR "teaching practice*" OR "technology enhanced learning")</w:t>
      </w:r>
    </w:p>
    <w:p>
      <w:pPr>
        <w:spacing w:after="80" w:line="240"/>
      </w:pPr>
      <w:r>
        <w:rPr>
          <w:rFonts w:ascii="Courier New" w:cs="Courier New" w:eastAsia="Courier New" w:hAnsi="Courier New"/>
          <w:b/>
          <w:bCs/>
          <w:sz w:val="16"/>
          <w:szCs w:val="16"/>
        </w:rPr>
        <w:t xml:space="preserve">AND</w:t>
      </w:r>
    </w:p>
    <w:p>
      <w:pPr>
        <w:spacing w:after="80" w:line="240"/>
      </w:pPr>
      <w:r>
        <w:rPr>
          <w:rFonts w:ascii="Courier New" w:cs="Courier New" w:eastAsia="Courier New" w:hAnsi="Courier New"/>
          <w:sz w:val="16"/>
          <w:szCs w:val="16"/>
        </w:rPr>
        <w:t xml:space="preserve">("AI framework*" OR "analytical framework*" OR "conceptual framework*" OR "design framework*" OR framework* OR "instructional model*" OR model* OR paradigm* OR "pedagogical model*" OR "theoretical framework*" OR theories OR theory OR curricul* OR "competency framework*" OR "curricular framework*" OR "curriculum integration" OR "instructional framework*" OR "learning framework*" OR "skills framework*" OR "best practice*" OR "evaluation framework*" OR guideline* OR rubric* OR schema* OR standard* OR taxonomy* OR approach* OR "organizational framework*" OR structure* OR typolog*)</w:t>
      </w:r>
    </w:p>
    <w:p>
      <w:pPr>
        <w:spacing w:after="80" w:line="240"/>
      </w:pPr>
      <w:r>
        <w:rPr>
          <w:rFonts w:ascii="Courier New" w:cs="Courier New" w:eastAsia="Courier New" w:hAnsi="Courier New"/>
          <w:b/>
          <w:bCs/>
          <w:sz w:val="16"/>
          <w:szCs w:val="16"/>
        </w:rPr>
        <w:t xml:space="preserve">AND</w:t>
      </w:r>
    </w:p>
    <w:p>
      <w:pPr>
        <w:spacing w:after="80" w:line="240"/>
      </w:pPr>
      <w:r>
        <w:rPr>
          <w:rFonts w:ascii="Courier New" w:cs="Courier New" w:eastAsia="Courier New" w:hAnsi="Courier New"/>
          <w:sz w:val="16"/>
          <w:szCs w:val="16"/>
        </w:rPr>
        <w:t xml:space="preserve">("AI assisted learning" OR "AI supported learning" OR "AI-human interaction" OR "human AI collaboration" OR "human centered AI" OR "human centred AI" OR "human computer interaction")</w:t>
      </w:r>
    </w:p>
    <w:p>
      <w:r>
        <w:br w:type="page"/>
      </w:r>
    </w:p>
    <w:p>
      <w:pPr>
        <w:spacing w:after="120" w:before="240"/>
      </w:pPr>
      <w:r>
        <w:rPr>
          <w:rFonts w:ascii="Times New Roman" w:cs="Times New Roman" w:eastAsia="Times New Roman" w:hAnsi="Times New Roman"/>
          <w:b/>
          <w:bCs/>
          <w:sz w:val="24"/>
          <w:szCs w:val="24"/>
        </w:rPr>
        <w:t xml:space="preserve">Web of Science Core Collection (Clarivate)</w:t>
      </w:r>
    </w:p>
    <w:p>
      <w:pPr>
        <w:spacing w:after="80" w:line="240"/>
      </w:pPr>
      <w:r>
        <w:rPr>
          <w:rFonts w:ascii="Courier New" w:cs="Courier New" w:eastAsia="Courier New" w:hAnsi="Courier New"/>
          <w:sz w:val="16"/>
          <w:szCs w:val="16"/>
        </w:rPr>
        <w:t xml:space="preserve">TS=("AI-driven" OR "AI-enhanced" OR "artificial intelligence" OR AI OR "generative AI" OR "machine intelligence" OR "algorithmic system*" OR "adaptive learning system" OR "automated decision making" OR "automated system*" OR "computer vision" OR "deep learning" OR "expert system*" OR "foundation model*" OR "intelligent tutoring system*" OR "large language model*" OR LLM* OR "machine learning" OR ML OR "natural language processing" OR NLP OR "neural network*" OR "predictive model*" OR "AI based application" OR "AI powered tool" OR Bard OR ChatGPT OR Claude OR Copilot OR "DALL-E" OR Gemini OR Midjourney OR NotebookLM OR "Perplexity AI" OR "AI ethics" OR "AI safety" OR "algorithmic bias" OR "algorithmic transparency" OR "data ethics" OR "ethical AI" OR "explainable AI" OR XAI OR "responsible AI" OR fairness)</w:t>
      </w:r>
    </w:p>
    <w:p>
      <w:pPr>
        <w:spacing w:after="80" w:line="240"/>
      </w:pPr>
      <w:r>
        <w:rPr>
          <w:rFonts w:ascii="Courier New" w:cs="Courier New" w:eastAsia="Courier New" w:hAnsi="Courier New"/>
          <w:b/>
          <w:bCs/>
          <w:sz w:val="16"/>
          <w:szCs w:val="16"/>
        </w:rPr>
        <w:t xml:space="preserve">AND</w:t>
      </w:r>
    </w:p>
    <w:p>
      <w:pPr>
        <w:spacing w:after="80" w:line="240"/>
      </w:pPr>
      <w:r>
        <w:rPr>
          <w:rFonts w:ascii="Courier New" w:cs="Courier New" w:eastAsia="Courier New" w:hAnsi="Courier New"/>
          <w:sz w:val="16"/>
          <w:szCs w:val="16"/>
        </w:rPr>
        <w:t xml:space="preserve">TS=("academic literac*" OR "AI literac*" OR "algorithmic literac*" OR "civic AI literac*" OR "computational literac*" OR "critical algorithmic literac*" OR "critical digital literac*" OR "critical information literac*" OR "critical media literac*" OR "data literac*" OR "digital citizenship" OR "digital literac*" OR "ethical AI literac*" OR "information literac*" OR literacy OR "media literac*" OR "technology literac*" OR "critical thinking" OR "data fluency" OR "digital competence*" OR "digital fluency" OR "information skill*" OR proficienc* OR "research skill*" OR "technological fluency" OR "digital practice*" OR "knowledge practice*" OR "learning practice*" OR "student skill*")</w:t>
      </w:r>
    </w:p>
    <w:p>
      <w:pPr>
        <w:spacing w:after="80" w:line="240"/>
      </w:pPr>
      <w:r>
        <w:rPr>
          <w:rFonts w:ascii="Courier New" w:cs="Courier New" w:eastAsia="Courier New" w:hAnsi="Courier New"/>
          <w:b/>
          <w:bCs/>
          <w:sz w:val="16"/>
          <w:szCs w:val="16"/>
        </w:rPr>
        <w:t xml:space="preserve">AND</w:t>
      </w:r>
    </w:p>
    <w:p>
      <w:pPr>
        <w:spacing w:after="80" w:line="240"/>
      </w:pPr>
      <w:r>
        <w:rPr>
          <w:rFonts w:ascii="Courier New" w:cs="Courier New" w:eastAsia="Courier New" w:hAnsi="Courier New"/>
          <w:sz w:val="16"/>
          <w:szCs w:val="16"/>
        </w:rPr>
        <w:t xml:space="preserve">TS=("basic education" OR "classroom-based" OR "compulsory education" OR "compulsory schooling" OR "elementary education" OR "elementary school*" OR "high school*" OR "junior high*" OR K12 OR "K-12" OR "middle school*" OR "pre-university education" OR "primary education" OR "primary school*" OR "school education" OR "school-based" OR "secondary education" OR "secondary school*" OR "classroom teacher*" OR educator* OR "elementary student*" OR "high school student*" OR "K-12 student*" OR "preservice teacher*" OR "pre-service teacher*" OR principal* OR pupil* OR "school administrator*" OR "school aged child*" OR "school child*" OR "school staff" OR "school teacher*" OR "school-age child*" OR "secondary student*" OR student* OR teacher* OR "AI enabled pedagogy" OR "AI supported pedagogy" OR "classroom practice*" OR "classroom teaching" OR "curriculum integration" OR "curriculum plan*" OR "educational technology" OR "instructional design" OR "instructional practice*" OR "instructional technology" OR "learning environment*" OR "lesson plan*" OR pedagogy OR "school pedagogy" OR "school teaching" OR teaching OR "teaching practice*" OR "technology enhanced learning")</w:t>
      </w:r>
    </w:p>
    <w:p>
      <w:pPr>
        <w:spacing w:after="80" w:line="240"/>
      </w:pPr>
      <w:r>
        <w:rPr>
          <w:rFonts w:ascii="Courier New" w:cs="Courier New" w:eastAsia="Courier New" w:hAnsi="Courier New"/>
          <w:b/>
          <w:bCs/>
          <w:sz w:val="16"/>
          <w:szCs w:val="16"/>
        </w:rPr>
        <w:t xml:space="preserve">AND</w:t>
      </w:r>
    </w:p>
    <w:p>
      <w:pPr>
        <w:spacing w:after="80" w:line="240"/>
      </w:pPr>
      <w:r>
        <w:rPr>
          <w:rFonts w:ascii="Courier New" w:cs="Courier New" w:eastAsia="Courier New" w:hAnsi="Courier New"/>
          <w:sz w:val="16"/>
          <w:szCs w:val="16"/>
        </w:rPr>
        <w:t xml:space="preserve">TS=("AI framework*" OR "analytical framework*" OR "conceptual framework*" OR "design framework*" OR framework* OR "instructional model*" OR model* OR paradigm* OR "pedagogical model*" OR "theoretical framework*" OR theories OR theory OR curricul* OR "competency framework*" OR "curricular framework*" OR "curriculum integration" OR "instructional framework*" OR "learning framework*" OR "skills framework*" OR "best practice*" OR "evaluation framework*" OR guideline* OR rubric* OR schema* OR standard* OR taxonomy* OR approach* OR "organizational framework*" OR structure* OR typolog*)</w:t>
      </w:r>
    </w:p>
    <w:p>
      <w:pPr>
        <w:spacing w:after="80" w:line="240"/>
      </w:pPr>
      <w:r>
        <w:rPr>
          <w:rFonts w:ascii="Courier New" w:cs="Courier New" w:eastAsia="Courier New" w:hAnsi="Courier New"/>
          <w:b/>
          <w:bCs/>
          <w:sz w:val="16"/>
          <w:szCs w:val="16"/>
        </w:rPr>
        <w:t xml:space="preserve">AND</w:t>
      </w:r>
    </w:p>
    <w:p>
      <w:pPr>
        <w:spacing w:after="80" w:line="240"/>
      </w:pPr>
      <w:r>
        <w:rPr>
          <w:rFonts w:ascii="Courier New" w:cs="Courier New" w:eastAsia="Courier New" w:hAnsi="Courier New"/>
          <w:sz w:val="16"/>
          <w:szCs w:val="16"/>
        </w:rPr>
        <w:t xml:space="preserve">TS=("AI assisted learning" OR "AI supported learning" OR "AI-human interaction" OR "human AI collaboration" OR "human centered AI" OR "human centred AI" OR "human computer interaction")</w:t>
      </w:r>
    </w:p>
    <w:p>
      <w:pPr>
        <w:pStyle w:val="Heading2"/>
      </w:pPr>
      <w:r>
        <w:rPr>
          <w:rFonts w:ascii="Times New Roman" w:cs="Times New Roman" w:eastAsia="Times New Roman" w:hAnsi="Times New Roman"/>
          <w:b/>
          <w:bCs/>
          <w:sz w:val="24"/>
          <w:szCs w:val="24"/>
        </w:rPr>
        <w:t xml:space="preserve">Grey literature search strategy</w:t>
      </w:r>
    </w:p>
    <w:p>
      <w:pPr>
        <w:spacing w:after="200" w:line="360"/>
      </w:pPr>
      <w:r>
        <w:rPr>
          <w:rFonts w:ascii="Times New Roman" w:cs="Times New Roman" w:eastAsia="Times New Roman" w:hAnsi="Times New Roman"/>
          <w:sz w:val="24"/>
          <w:szCs w:val="24"/>
        </w:rPr>
        <w:t xml:space="preserve">Targeted grey literature searches were conducted to identify relevant reports, curriculum frameworks, conference materials, and institutional documents that addressed K–12 AI literacy frameworks. Sources included UNESCO, OECD, MIT, EDUCAUSE, Jisc, ACM SIGCSE, IEEE EDUCON, institutional repositories, and reference lists of included studies. Grey literature searching was targeted rather than exhaustive; retrieved documents were screened using the same eligibility criteria as database records.</w:t>
      </w:r>
    </w:p>
    <w:p>
      <w:pPr>
        <w:spacing w:after="120" w:line="360"/>
      </w:pPr>
      <w:r>
        <w:rPr>
          <w:rFonts w:ascii="Times New Roman" w:cs="Times New Roman" w:eastAsia="Times New Roman" w:hAnsi="Times New Roman"/>
          <w:sz w:val="24"/>
          <w:szCs w:val="24"/>
        </w:rPr>
        <w:t xml:space="preserve">Representative grey literature search terms:</w:t>
      </w:r>
    </w:p>
    <w:p>
      <w:pPr>
        <w:spacing w:after="60"/>
        <w:ind w:left="720" w:hanging="360"/>
      </w:pPr>
      <w:r>
        <w:rPr>
          <w:rFonts w:ascii="Times New Roman" w:cs="Times New Roman" w:eastAsia="Times New Roman" w:hAnsi="Times New Roman"/>
          <w:sz w:val="24"/>
          <w:szCs w:val="24"/>
        </w:rPr>
        <w:t xml:space="preserve">•  “AI literacy” AND “K–12”</w:t>
      </w:r>
    </w:p>
    <w:p>
      <w:pPr>
        <w:spacing w:after="60"/>
        <w:ind w:left="720" w:hanging="360"/>
      </w:pPr>
      <w:r>
        <w:rPr>
          <w:rFonts w:ascii="Times New Roman" w:cs="Times New Roman" w:eastAsia="Times New Roman" w:hAnsi="Times New Roman"/>
          <w:sz w:val="24"/>
          <w:szCs w:val="24"/>
        </w:rPr>
        <w:t xml:space="preserve">•  “artificial intelligence literacy” AND school</w:t>
      </w:r>
    </w:p>
    <w:p>
      <w:pPr>
        <w:spacing w:after="60"/>
        <w:ind w:left="720" w:hanging="360"/>
      </w:pPr>
      <w:r>
        <w:rPr>
          <w:rFonts w:ascii="Times New Roman" w:cs="Times New Roman" w:eastAsia="Times New Roman" w:hAnsi="Times New Roman"/>
          <w:sz w:val="24"/>
          <w:szCs w:val="24"/>
        </w:rPr>
        <w:t xml:space="preserve">•  “responsible AI” AND education AND framework</w:t>
      </w:r>
    </w:p>
    <w:p>
      <w:pPr>
        <w:spacing w:after="60"/>
        <w:ind w:left="720" w:hanging="360"/>
      </w:pPr>
      <w:r>
        <w:rPr>
          <w:rFonts w:ascii="Times New Roman" w:cs="Times New Roman" w:eastAsia="Times New Roman" w:hAnsi="Times New Roman"/>
          <w:sz w:val="24"/>
          <w:szCs w:val="24"/>
        </w:rPr>
        <w:t xml:space="preserve">•  “AI competency” AND students</w:t>
      </w:r>
    </w:p>
    <w:p>
      <w:pPr>
        <w:spacing w:after="60"/>
        <w:ind w:left="720" w:hanging="360"/>
      </w:pPr>
      <w:r>
        <w:rPr>
          <w:rFonts w:ascii="Times New Roman" w:cs="Times New Roman" w:eastAsia="Times New Roman" w:hAnsi="Times New Roman"/>
          <w:sz w:val="24"/>
          <w:szCs w:val="24"/>
        </w:rPr>
        <w:t xml:space="preserve">•  “AI curriculum” AND “middle school”</w:t>
      </w:r>
    </w:p>
    <w:p>
      <w:pPr>
        <w:spacing w:after="60"/>
        <w:ind w:left="720" w:hanging="360"/>
      </w:pPr>
      <w:r>
        <w:rPr>
          <w:rFonts w:ascii="Times New Roman" w:cs="Times New Roman" w:eastAsia="Times New Roman" w:hAnsi="Times New Roman"/>
          <w:sz w:val="24"/>
          <w:szCs w:val="24"/>
        </w:rPr>
        <w:t xml:space="preserve">•  “AI curriculum” AND “high school”</w:t>
      </w:r>
    </w:p>
    <w:p>
      <w:pPr>
        <w:spacing w:after="60"/>
        <w:ind w:left="720" w:hanging="360"/>
      </w:pPr>
      <w:r>
        <w:rPr>
          <w:rFonts w:ascii="Times New Roman" w:cs="Times New Roman" w:eastAsia="Times New Roman" w:hAnsi="Times New Roman"/>
          <w:sz w:val="24"/>
          <w:szCs w:val="24"/>
        </w:rPr>
        <w:t xml:space="preserve">•  “generative AI” AND “K–12” AND framework</w:t>
      </w:r>
    </w:p>
    <w:p>
      <w:pPr>
        <w:spacing w:after="60"/>
        <w:ind w:left="720" w:hanging="360"/>
      </w:pPr>
      <w:r>
        <w:rPr>
          <w:rFonts w:ascii="Times New Roman" w:cs="Times New Roman" w:eastAsia="Times New Roman" w:hAnsi="Times New Roman"/>
          <w:sz w:val="24"/>
          <w:szCs w:val="24"/>
        </w:rPr>
        <w:t xml:space="preserve">•  “AI ethics” AND “K–12” AND curriculum</w:t>
      </w:r>
    </w:p>
    <w:p>
      <w:pPr>
        <w:spacing w:after="60"/>
        <w:ind w:left="720" w:hanging="360"/>
      </w:pPr>
      <w:r>
        <w:rPr>
          <w:rFonts w:ascii="Times New Roman" w:cs="Times New Roman" w:eastAsia="Times New Roman" w:hAnsi="Times New Roman"/>
          <w:sz w:val="24"/>
          <w:szCs w:val="24"/>
        </w:rPr>
        <w:t xml:space="preserve">•  “algorithmic literacy” AND education AND framework</w:t>
      </w:r>
    </w:p>
    <w:p>
      <w:pPr>
        <w:spacing w:after="80"/>
      </w:pPr>
    </w:p>
    <w:p>
      <w:pPr>
        <w:spacing w:after="200" w:line="360"/>
      </w:pPr>
      <w:r>
        <w:rPr>
          <w:rFonts w:ascii="Times New Roman" w:cs="Times New Roman" w:eastAsia="Times New Roman" w:hAnsi="Times New Roman"/>
          <w:sz w:val="24"/>
          <w:szCs w:val="24"/>
        </w:rPr>
        <w:t xml:space="preserve">Grey literature limits: English; publication date 1 January 2024 to 31 December 2025; documents relevant to K–12 education or school-level AI literacy.</w:t>
      </w:r>
    </w:p>
    <w:p>
      <w:pPr>
        <w:spacing w:after="200" w:line="360"/>
      </w:pPr>
      <w:r>
        <w:rPr>
          <w:rFonts w:ascii="Times New Roman" w:cs="Times New Roman" w:eastAsia="Times New Roman" w:hAnsi="Times New Roman"/>
          <w:sz w:val="24"/>
          <w:szCs w:val="24"/>
        </w:rPr>
        <w:t xml:space="preserve">Date searched: 15 January 2026.</w:t>
      </w:r>
    </w:p>
    <w:p>
      <w:pPr>
        <w:spacing w:after="200" w:line="360"/>
      </w:pPr>
      <w:r>
        <w:rPr>
          <w:rFonts w:ascii="Times New Roman" w:cs="Times New Roman" w:eastAsia="Times New Roman" w:hAnsi="Times New Roman"/>
          <w:sz w:val="24"/>
          <w:szCs w:val="24"/>
        </w:rPr>
        <w:t xml:space="preserve">Grey literature records retrieved: 19.</w:t>
      </w:r>
    </w:p>
    <w:p>
      <w:pPr>
        <w:pStyle w:val="Heading2"/>
      </w:pPr>
      <w:r>
        <w:rPr>
          <w:rFonts w:ascii="Times New Roman" w:cs="Times New Roman" w:eastAsia="Times New Roman" w:hAnsi="Times New Roman"/>
          <w:b/>
          <w:bCs/>
          <w:sz w:val="24"/>
          <w:szCs w:val="24"/>
        </w:rPr>
        <w:t xml:space="preserve">Deduplication and screening</w:t>
      </w:r>
    </w:p>
    <w:p>
      <w:pPr>
        <w:spacing w:after="200" w:line="360"/>
      </w:pPr>
      <w:r>
        <w:rPr>
          <w:rFonts w:ascii="Times New Roman" w:cs="Times New Roman" w:eastAsia="Times New Roman" w:hAnsi="Times New Roman"/>
          <w:sz w:val="24"/>
          <w:szCs w:val="24"/>
        </w:rPr>
        <w:t xml:space="preserve">Across database and grey literature searches, 339 records were identified before deduplication (320 from databases, 19 from grey literature). After removing 135 duplicates using Zotero reference management software, 204 unique records entered title and abstract screening. Fifty-four records were excluded at title and abstract screening, leaving 150 reports for full-text eligibility assessment.</w:t>
      </w:r>
    </w:p>
    <w:p>
      <w:pPr>
        <w:spacing w:after="200" w:line="360"/>
      </w:pPr>
      <w:r>
        <w:rPr>
          <w:rFonts w:ascii="Times New Roman" w:cs="Times New Roman" w:eastAsia="Times New Roman" w:hAnsi="Times New Roman"/>
          <w:sz w:val="24"/>
          <w:szCs w:val="24"/>
        </w:rPr>
        <w:t xml:space="preserve">Full-text eligibility assessment excluded 95 reports that did not meet the broader eligibility criteria (see Supplementary File 3 for categorised exclusion reasons). The remaining 55 candidate papers were assessed using the five-criterion framework checklist (see Supplementary File 4). Five papers scored below the 2/5 inclusion threshold and were excluded. Fifty studies were included in the final review.</w:t>
      </w:r>
    </w:p>
    <w:p>
      <w:pPr>
        <w:spacing w:after="200" w:line="360"/>
      </w:pPr>
      <w:r>
        <w:rPr>
          <w:rFonts w:ascii="Times New Roman" w:cs="Times New Roman" w:eastAsia="Times New Roman" w:hAnsi="Times New Roman"/>
          <w:b/>
          <w:bCs/>
          <w:sz w:val="24"/>
          <w:szCs w:val="24"/>
        </w:rPr>
        <w:t xml:space="preserve">Summary of the screening pathway: </w:t>
      </w:r>
      <w:r>
        <w:rPr>
          <w:rFonts w:ascii="Times New Roman" w:cs="Times New Roman" w:eastAsia="Times New Roman" w:hAnsi="Times New Roman"/>
          <w:sz w:val="24"/>
          <w:szCs w:val="24"/>
        </w:rPr>
        <w:t xml:space="preserve">339 identified (320 database + 19 grey literature) → 135 duplicates removed → 204 title/abstract screened → 54 excluded → 150 full-text assessed → 95 excluded → 55 checklist-assessed → 5 excluded below threshold → 50 included.</w:t>
      </w:r>
    </w:p>
    <w:p>
      <w:pPr>
        <w:pStyle w:val="Heading2"/>
      </w:pPr>
      <w:r>
        <w:rPr>
          <w:rFonts w:ascii="Times New Roman" w:cs="Times New Roman" w:eastAsia="Times New Roman" w:hAnsi="Times New Roman"/>
          <w:b/>
          <w:bCs/>
          <w:sz w:val="24"/>
          <w:szCs w:val="24"/>
        </w:rPr>
        <w:t xml:space="preserve">Notes</w:t>
      </w:r>
    </w:p>
    <w:p>
      <w:pPr>
        <w:spacing w:after="200" w:line="360"/>
      </w:pPr>
      <w:r>
        <w:rPr>
          <w:rFonts w:ascii="Times New Roman" w:cs="Times New Roman" w:eastAsia="Times New Roman" w:hAnsi="Times New Roman"/>
          <w:sz w:val="24"/>
          <w:szCs w:val="24"/>
        </w:rPr>
        <w:t xml:space="preserve">Search strategies were designed by an academic librarian trained through the Evidence Synthesis Institute Canada (CARL–ABRC) and informed by PRESS guidance (McGowan et al., 2016). The strategies were adapted to each database interface while preserving the same five conceptual blocks: AI terminology, literacy and competency terminology, K–12 educational setting, framework and curriculum terminology, and human–AI interaction and pedagogy terminology.</w:t>
      </w:r>
    </w:p>
    <w:p>
      <w:pPr>
        <w:spacing w:after="200" w:line="360"/>
      </w:pPr>
      <w:r>
        <w:rPr>
          <w:rFonts w:ascii="Times New Roman" w:cs="Times New Roman" w:eastAsia="Times New Roman" w:hAnsi="Times New Roman"/>
          <w:sz w:val="24"/>
          <w:szCs w:val="24"/>
        </w:rPr>
        <w:t xml:space="preserve">The PRISMA-S extension for reporting literature searches in systematic reviews (Rethlefsen et al., 2021) was followed for transparency. The complete PRISMA-ScR flow diagram is presented in the main manuscript (Figure 1).</w:t>
      </w:r>
    </w:p>
    <w:p>
      <w:pPr>
        <w:spacing w:after="200" w:line="360"/>
      </w:pPr>
      <w:r>
        <w:rPr>
          <w:rFonts w:ascii="Times New Roman" w:cs="Times New Roman" w:eastAsia="Times New Roman" w:hAnsi="Times New Roman"/>
          <w:sz w:val="24"/>
          <w:szCs w:val="24"/>
        </w:rPr>
        <w:t xml:space="preserve">Teacher- and educator-related terms were included in the K–12 setting block to capture curriculum, pedagogy, and implementation frameworks designed for school contexts; teacher-only studies were excluded during screening unless they presented a student-facing K–12 AI literacy framework or curriculum.</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Times New Roman" w:cs="Times New Roman" w:eastAsia="Times New Roman" w:hAnsi="Times New Roman"/>
      <w:b/>
      <w:bCs/>
      <w:sz w:val="28"/>
      <w:szCs w:val="28"/>
    </w:rPr>
  </w:style>
  <w:style w:type="paragraph" w:styleId="Heading2">
    <w:name w:val="Heading 2"/>
    <w:basedOn w:val="Normal"/>
    <w:next w:val="Normal"/>
    <w:qFormat/>
    <w:pPr>
      <w:spacing w:after="120" w:before="240"/>
      <w:outlineLvl w:val="1"/>
    </w:pPr>
    <w:rPr>
      <w:rFonts w:ascii="Times New Roman" w:cs="Times New Roman" w:eastAsia="Times New Roman" w:hAnsi="Times New Roman"/>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2026-05-25T02:21:06.279Z</dcterms:created>
  <dcterms:modified xsi:type="dcterms:W3CDTF">2026-05-25T02:21:06.279Z</dcterms:modified>
</cp:coreProperties>
</file>

<file path=docProps/custom.xml><?xml version="1.0" encoding="utf-8"?>
<Properties xmlns="http://schemas.openxmlformats.org/officeDocument/2006/custom-properties" xmlns:vt="http://schemas.openxmlformats.org/officeDocument/2006/docPropsVTypes"/>
</file>